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4E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37438212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28165981" w:rsidR="00235F41" w:rsidRDefault="003D5B6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Military Differential Pay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7275368C" w:rsidR="003738F2" w:rsidRPr="0049585B" w:rsidRDefault="005048F8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4/12/2022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63805FE" w:rsidR="00AF2E3C" w:rsidRPr="00972B16" w:rsidRDefault="00956661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Updated</w:t>
            </w:r>
          </w:p>
        </w:tc>
        <w:tc>
          <w:tcPr>
            <w:tcW w:w="6997" w:type="dxa"/>
          </w:tcPr>
          <w:p w14:paraId="6DA642A3" w14:textId="2ADEAE54" w:rsidR="00AF2E3C" w:rsidRPr="0049585B" w:rsidRDefault="0095666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2/9/023</w:t>
            </w:r>
          </w:p>
        </w:tc>
      </w:tr>
      <w:tr w:rsidR="002140F8" w:rsidRPr="00161D65" w14:paraId="79699F3D" w14:textId="77777777" w:rsidTr="00090553">
        <w:tc>
          <w:tcPr>
            <w:tcW w:w="3443" w:type="dxa"/>
            <w:gridSpan w:val="2"/>
          </w:tcPr>
          <w:p w14:paraId="50E66C46" w14:textId="77777777" w:rsidR="002140F8" w:rsidRDefault="00BB53A8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Reference Tools </w:t>
            </w:r>
          </w:p>
          <w:p w14:paraId="2019F021" w14:textId="77777777" w:rsidR="00A047B5" w:rsidRDefault="00A047B5" w:rsidP="00D8350B">
            <w:pPr>
              <w:rPr>
                <w:rFonts w:ascii="Calibri" w:hAnsi="Calibri"/>
                <w:b/>
                <w:noProof/>
              </w:rPr>
            </w:pPr>
          </w:p>
          <w:p w14:paraId="020D3D4E" w14:textId="3C3B6933" w:rsidR="00A047B5" w:rsidRDefault="00F66207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Payroll Procedures/Job Aids &gt; Military </w:t>
            </w:r>
            <w:r w:rsidR="00C35807">
              <w:rPr>
                <w:rFonts w:ascii="Calibri" w:hAnsi="Calibri"/>
                <w:b/>
                <w:noProof/>
              </w:rPr>
              <w:t>Pay</w:t>
            </w:r>
          </w:p>
        </w:tc>
        <w:tc>
          <w:tcPr>
            <w:tcW w:w="6997" w:type="dxa"/>
          </w:tcPr>
          <w:p w14:paraId="50F59BDF" w14:textId="51119F28" w:rsidR="00037CFB" w:rsidRPr="00706B98" w:rsidRDefault="00037CFB" w:rsidP="00706B98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How to read an active duty Army Leave and Earning</w:t>
            </w:r>
            <w:r w:rsidR="00440095">
              <w:rPr>
                <w:rFonts w:ascii="Calibri" w:hAnsi="Calibri"/>
                <w:noProof/>
                <w:sz w:val="22"/>
                <w:szCs w:val="22"/>
              </w:rPr>
              <w:t>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Statement</w:t>
            </w:r>
            <w:r w:rsidR="00636A90">
              <w:rPr>
                <w:rFonts w:ascii="Calibri" w:hAnsi="Calibri"/>
                <w:noProof/>
                <w:sz w:val="22"/>
                <w:szCs w:val="22"/>
              </w:rPr>
              <w:t xml:space="preserve"> (Reading Leave and Earnings Statement)</w:t>
            </w: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50250D8F" w14:textId="3BED1A08" w:rsidR="005D4260" w:rsidRDefault="003D5B61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When an </w:t>
            </w:r>
            <w:r w:rsidR="00734A99">
              <w:rPr>
                <w:rFonts w:ascii="Calibri" w:hAnsi="Calibri"/>
                <w:sz w:val="22"/>
                <w:szCs w:val="22"/>
              </w:rPr>
              <w:t xml:space="preserve">eligible </w:t>
            </w:r>
            <w:r>
              <w:rPr>
                <w:rFonts w:ascii="Calibri" w:hAnsi="Calibri"/>
                <w:sz w:val="22"/>
                <w:szCs w:val="22"/>
              </w:rPr>
              <w:t xml:space="preserve">employee </w:t>
            </w:r>
            <w:r w:rsidR="00734A99">
              <w:rPr>
                <w:rFonts w:ascii="Calibri" w:hAnsi="Calibri"/>
                <w:sz w:val="22"/>
                <w:szCs w:val="22"/>
              </w:rPr>
              <w:t xml:space="preserve">of the State of Kansas </w:t>
            </w:r>
            <w:r>
              <w:rPr>
                <w:rFonts w:ascii="Calibri" w:hAnsi="Calibri"/>
                <w:sz w:val="22"/>
                <w:szCs w:val="22"/>
              </w:rPr>
              <w:t xml:space="preserve">is on military active duty, </w:t>
            </w:r>
            <w:r w:rsidR="00734A99">
              <w:rPr>
                <w:rFonts w:ascii="Calibri" w:hAnsi="Calibri"/>
                <w:sz w:val="22"/>
                <w:szCs w:val="22"/>
              </w:rPr>
              <w:t xml:space="preserve">the employee is to receive the difference between the amount of the employee’s regular State wages and the employee’s military base pay. The </w:t>
            </w:r>
            <w:r>
              <w:rPr>
                <w:rFonts w:ascii="Calibri" w:hAnsi="Calibri"/>
                <w:sz w:val="22"/>
                <w:szCs w:val="22"/>
              </w:rPr>
              <w:t>State of Kansas will pay the employee the difference in pay</w:t>
            </w:r>
            <w:r w:rsidR="00734A99">
              <w:rPr>
                <w:rFonts w:ascii="Calibri" w:hAnsi="Calibri"/>
                <w:sz w:val="22"/>
                <w:szCs w:val="22"/>
              </w:rPr>
              <w:t xml:space="preserve"> using the </w:t>
            </w:r>
            <w:r w:rsidR="00974F56">
              <w:rPr>
                <w:rFonts w:ascii="Calibri" w:hAnsi="Calibri"/>
                <w:sz w:val="22"/>
                <w:szCs w:val="22"/>
              </w:rPr>
              <w:t>MDP</w:t>
            </w:r>
            <w:r w:rsidR="00734A99">
              <w:rPr>
                <w:rFonts w:ascii="Calibri" w:hAnsi="Calibri"/>
                <w:sz w:val="22"/>
                <w:szCs w:val="22"/>
              </w:rPr>
              <w:t xml:space="preserve"> earnings code.</w:t>
            </w:r>
          </w:p>
          <w:p w14:paraId="4D36A7BD" w14:textId="44CDE49D" w:rsidR="004C18A9" w:rsidRDefault="004C18A9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29C8248B" w14:textId="3A7A6688" w:rsidR="004C18A9" w:rsidRPr="004C18A9" w:rsidRDefault="004C18A9" w:rsidP="005D426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These procedures only cover the </w:t>
            </w:r>
            <w:r w:rsidR="00734A99">
              <w:rPr>
                <w:rFonts w:ascii="Calibri" w:hAnsi="Calibri"/>
                <w:color w:val="FF0000"/>
                <w:sz w:val="22"/>
                <w:szCs w:val="22"/>
              </w:rPr>
              <w:t xml:space="preserve">payment of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MDP (Military Pay Differential).  Refer to </w:t>
            </w:r>
            <w:r w:rsidR="00734A99">
              <w:rPr>
                <w:rFonts w:ascii="Calibri" w:hAnsi="Calibri"/>
                <w:color w:val="FF0000"/>
                <w:sz w:val="22"/>
                <w:szCs w:val="22"/>
              </w:rPr>
              <w:t xml:space="preserve">Personnel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Bulletin</w:t>
            </w:r>
            <w:r w:rsidR="00734A99">
              <w:rPr>
                <w:rFonts w:ascii="Calibri" w:hAnsi="Calibri"/>
                <w:color w:val="FF0000"/>
                <w:sz w:val="22"/>
                <w:szCs w:val="22"/>
              </w:rPr>
              <w:t>s 04-02 and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09-02 for </w:t>
            </w:r>
            <w:r w:rsidR="00734A99">
              <w:rPr>
                <w:rFonts w:ascii="Calibri" w:hAnsi="Calibri"/>
                <w:color w:val="FF0000"/>
                <w:sz w:val="22"/>
                <w:szCs w:val="22"/>
              </w:rPr>
              <w:t xml:space="preserve">additional information on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the Military Duty process.</w:t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40A1" w:rsidRPr="00161D65" w14:paraId="266F19B0" w14:textId="77777777" w:rsidTr="00410FD3">
        <w:tc>
          <w:tcPr>
            <w:tcW w:w="3443" w:type="dxa"/>
            <w:gridSpan w:val="2"/>
          </w:tcPr>
          <w:p w14:paraId="01D30302" w14:textId="04BC40B5" w:rsidR="00884B54" w:rsidRDefault="005949BF" w:rsidP="00884B5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Personnel Bulletins</w:t>
            </w:r>
            <w:r w:rsidR="00884B54">
              <w:rPr>
                <w:rFonts w:ascii="Calibri" w:hAnsi="Calibri"/>
                <w:b/>
                <w:noProof/>
              </w:rPr>
              <w:t xml:space="preserve"> </w:t>
            </w:r>
          </w:p>
          <w:p w14:paraId="53DF9E7A" w14:textId="77777777" w:rsidR="00884B54" w:rsidRDefault="00884B54" w:rsidP="00884B54">
            <w:pPr>
              <w:rPr>
                <w:rFonts w:ascii="Calibri" w:hAnsi="Calibri"/>
                <w:b/>
                <w:noProof/>
              </w:rPr>
            </w:pPr>
          </w:p>
          <w:p w14:paraId="6EE79B4F" w14:textId="172725BE" w:rsidR="00884B54" w:rsidRDefault="00884B54" w:rsidP="00884B5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Personnel Services &gt; Agency Information &gt; Personnel Bulletins</w:t>
            </w:r>
          </w:p>
          <w:p w14:paraId="70618995" w14:textId="38CBF339" w:rsidR="00DC40A1" w:rsidRDefault="00DC40A1" w:rsidP="00410FD3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6997" w:type="dxa"/>
          </w:tcPr>
          <w:p w14:paraId="7991B236" w14:textId="73E07B16" w:rsidR="00DC40A1" w:rsidRDefault="00884B54" w:rsidP="00BB53A8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Bullentin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04-02 – Provisions for Employees Reporting for Active Military Duty – answers to </w:t>
            </w:r>
            <w:r w:rsidR="00DC40A1" w:rsidRPr="00BB53A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questions related to benefits, including KPERS</w:t>
            </w:r>
          </w:p>
          <w:p w14:paraId="68E7FA02" w14:textId="67ED7902" w:rsidR="00884B54" w:rsidRPr="00BB53A8" w:rsidRDefault="00884B54" w:rsidP="00BB53A8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Bulletin 09-02 – Payment for Employees Activated to Military Duty -description of background and processes regarding military duty</w:t>
            </w:r>
          </w:p>
        </w:tc>
      </w:tr>
      <w:tr w:rsidR="00DC40A1" w:rsidRPr="00161D65" w14:paraId="1D015122" w14:textId="77777777" w:rsidTr="00410FD3">
        <w:tc>
          <w:tcPr>
            <w:tcW w:w="3443" w:type="dxa"/>
            <w:gridSpan w:val="2"/>
          </w:tcPr>
          <w:p w14:paraId="080D1F5F" w14:textId="77777777" w:rsidR="00DC40A1" w:rsidRDefault="00DC40A1" w:rsidP="00410FD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Informational Circular</w:t>
            </w:r>
          </w:p>
          <w:p w14:paraId="16EDC25A" w14:textId="77777777" w:rsidR="00884B54" w:rsidRDefault="00884B54" w:rsidP="00410FD3">
            <w:pPr>
              <w:rPr>
                <w:rFonts w:ascii="Calibri" w:hAnsi="Calibri"/>
                <w:b/>
                <w:noProof/>
              </w:rPr>
            </w:pPr>
          </w:p>
          <w:p w14:paraId="4C140163" w14:textId="77777777" w:rsidR="00884B54" w:rsidRDefault="00884B54" w:rsidP="00410FD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Accounts &amp; Reports &gt; Informational Messages and Circulars &gt; Payroll Circulars</w:t>
            </w:r>
          </w:p>
          <w:p w14:paraId="36F4B113" w14:textId="4445FD52" w:rsidR="00734A99" w:rsidRDefault="00734A99" w:rsidP="00410FD3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6997" w:type="dxa"/>
          </w:tcPr>
          <w:p w14:paraId="6439EB36" w14:textId="55574271" w:rsidR="00DC40A1" w:rsidRPr="00974F56" w:rsidRDefault="00DC40A1" w:rsidP="003D5B61">
            <w:p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74F5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09-P-021</w:t>
            </w:r>
            <w:r w:rsidR="00884B5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Addition of Earnings Code ‘MDP’ for Military Differential Pay</w:t>
            </w:r>
          </w:p>
        </w:tc>
      </w:tr>
      <w:tr w:rsidR="003A152E" w:rsidRPr="00161D65" w14:paraId="349E0CAE" w14:textId="77777777" w:rsidTr="00410FD3">
        <w:tc>
          <w:tcPr>
            <w:tcW w:w="3443" w:type="dxa"/>
            <w:gridSpan w:val="2"/>
          </w:tcPr>
          <w:p w14:paraId="78B548C1" w14:textId="77777777" w:rsidR="003D5B61" w:rsidRDefault="003D5B61" w:rsidP="00410FD3">
            <w:pPr>
              <w:rPr>
                <w:rFonts w:ascii="Calibri" w:hAnsi="Calibri"/>
                <w:b/>
                <w:noProof/>
              </w:rPr>
            </w:pPr>
            <w:bookmarkStart w:id="0" w:name="_Hlk88033673"/>
            <w:bookmarkStart w:id="1" w:name="_Hlk87965373"/>
            <w:bookmarkStart w:id="2" w:name="_Hlk87968847"/>
          </w:p>
          <w:p w14:paraId="62EAC7BF" w14:textId="63FDCBF1" w:rsidR="00DC40A1" w:rsidRDefault="00DC40A1" w:rsidP="00410FD3">
            <w:pPr>
              <w:rPr>
                <w:rFonts w:ascii="Calibri" w:hAnsi="Calibri"/>
                <w:b/>
                <w:noProof/>
              </w:rPr>
            </w:pPr>
          </w:p>
          <w:p w14:paraId="1A85C96D" w14:textId="601B9D40" w:rsidR="00DC40A1" w:rsidRDefault="00560BD4" w:rsidP="00410FD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Highlights</w:t>
            </w:r>
            <w:r w:rsidR="00B36EBA">
              <w:rPr>
                <w:rFonts w:ascii="Calibri" w:hAnsi="Calibri"/>
                <w:b/>
                <w:noProof/>
              </w:rPr>
              <w:t xml:space="preserve"> related to Military Differential pay, from Bulletin 09-02, are </w:t>
            </w:r>
            <w:r>
              <w:rPr>
                <w:rFonts w:ascii="Calibri" w:hAnsi="Calibri"/>
                <w:b/>
                <w:noProof/>
              </w:rPr>
              <w:t>included to the right.</w:t>
            </w:r>
          </w:p>
          <w:p w14:paraId="2E823C87" w14:textId="5558C9BA" w:rsidR="002124A3" w:rsidRDefault="002124A3" w:rsidP="00410FD3">
            <w:pPr>
              <w:rPr>
                <w:rFonts w:ascii="Calibri" w:hAnsi="Calibri"/>
                <w:b/>
                <w:noProof/>
              </w:rPr>
            </w:pPr>
          </w:p>
          <w:p w14:paraId="4A3FD7BC" w14:textId="0E44281C" w:rsidR="002124A3" w:rsidRDefault="002124A3" w:rsidP="00410FD3">
            <w:pPr>
              <w:rPr>
                <w:rFonts w:ascii="Calibri" w:hAnsi="Calibri"/>
                <w:b/>
                <w:noProof/>
              </w:rPr>
            </w:pPr>
          </w:p>
          <w:p w14:paraId="67C3615B" w14:textId="4D7AE02F" w:rsidR="002124A3" w:rsidRDefault="002124A3" w:rsidP="00410FD3">
            <w:pPr>
              <w:rPr>
                <w:rFonts w:ascii="Calibri" w:hAnsi="Calibri"/>
                <w:b/>
                <w:noProof/>
              </w:rPr>
            </w:pPr>
          </w:p>
          <w:p w14:paraId="7DF75C23" w14:textId="1596AE97" w:rsidR="002124A3" w:rsidRDefault="002124A3" w:rsidP="00410FD3">
            <w:pPr>
              <w:rPr>
                <w:rFonts w:ascii="Calibri" w:hAnsi="Calibri"/>
                <w:b/>
                <w:noProof/>
              </w:rPr>
            </w:pPr>
          </w:p>
          <w:p w14:paraId="50B4A4B5" w14:textId="77777777" w:rsidR="002124A3" w:rsidRDefault="002124A3" w:rsidP="00410FD3">
            <w:pPr>
              <w:rPr>
                <w:rFonts w:ascii="Calibri" w:hAnsi="Calibri"/>
                <w:b/>
                <w:noProof/>
              </w:rPr>
            </w:pPr>
          </w:p>
          <w:p w14:paraId="464A61C3" w14:textId="2E9548B6" w:rsidR="002124A3" w:rsidRDefault="002124A3" w:rsidP="00410FD3">
            <w:pPr>
              <w:rPr>
                <w:rFonts w:ascii="Calibri" w:hAnsi="Calibri"/>
                <w:b/>
                <w:noProof/>
              </w:rPr>
            </w:pPr>
          </w:p>
          <w:p w14:paraId="00E6F27C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BC7CBE6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806F93F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745C6702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463C889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2E931F9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79BED63E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6A9F263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32FF51FB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70FA7B3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0A717B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3D53307A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71B108C9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4BC8AF7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393ECD7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3934D4B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73C735B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CEFF31C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1F0817E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9F39099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2C31A80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32316E92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7C97546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A747E7C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6AA4E4F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AD0D368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20ED62F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424774F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CA5A4A5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9FF77CE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40333A49" w14:textId="65B0C345" w:rsidR="00CC683B" w:rsidRDefault="00037CFB" w:rsidP="00410FD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Activation Payment:  Paid through SMART and is 1099 reportable</w:t>
            </w:r>
          </w:p>
          <w:p w14:paraId="49401BE9" w14:textId="3B7B9E6C" w:rsidR="00037CFB" w:rsidRDefault="00037CFB" w:rsidP="00410FD3">
            <w:pPr>
              <w:rPr>
                <w:rFonts w:ascii="Calibri" w:hAnsi="Calibri"/>
                <w:b/>
                <w:noProof/>
              </w:rPr>
            </w:pPr>
          </w:p>
          <w:p w14:paraId="10797AD7" w14:textId="51E2B43E" w:rsidR="00037CFB" w:rsidRDefault="00037CFB" w:rsidP="00410FD3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Military Pay Differential:  Paid through SHARP and is W</w:t>
            </w:r>
            <w:r w:rsidR="00440095">
              <w:rPr>
                <w:rFonts w:ascii="Calibri" w:hAnsi="Calibri"/>
                <w:b/>
                <w:noProof/>
              </w:rPr>
              <w:t>-</w:t>
            </w:r>
            <w:r>
              <w:rPr>
                <w:rFonts w:ascii="Calibri" w:hAnsi="Calibri"/>
                <w:b/>
                <w:noProof/>
              </w:rPr>
              <w:t>2 reportable</w:t>
            </w:r>
          </w:p>
          <w:p w14:paraId="79BD12F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44B96D2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412CE4A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47C6E67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376FCE73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E31B38A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728E4406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3475BBE3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C508C07" w14:textId="47A723F2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E6E7147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90F40A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70014F2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43F0B74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5AB9696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B51D870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2FBFB19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617BDA8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E2E99C6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76427323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AE727D3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37960575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1AB1770E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672997E5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98FA8C0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EAC692A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422C474D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F4D7A38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240C65F0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069E2070" w14:textId="77777777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  <w:p w14:paraId="5295EE8A" w14:textId="362AA529" w:rsidR="00CC683B" w:rsidRDefault="00CC683B" w:rsidP="00410FD3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6997" w:type="dxa"/>
          </w:tcPr>
          <w:p w14:paraId="3AF4BCF7" w14:textId="77777777" w:rsidR="00123AB6" w:rsidRDefault="00123AB6" w:rsidP="003D5B61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  <w:p w14:paraId="24F3ACC3" w14:textId="77777777" w:rsidR="00560BD4" w:rsidRDefault="00785D51" w:rsidP="00560BD4">
            <w:pPr>
              <w:rPr>
                <w:rFonts w:asciiTheme="minorHAnsi" w:hAnsiTheme="minorHAnsi" w:cstheme="minorHAnsi"/>
                <w:b/>
                <w:bCs/>
              </w:rPr>
            </w:pPr>
            <w:r w:rsidRPr="00126E5A">
              <w:rPr>
                <w:rFonts w:asciiTheme="minorHAnsi" w:hAnsiTheme="minorHAnsi" w:cstheme="minorHAnsi"/>
                <w:b/>
                <w:bCs/>
              </w:rPr>
              <w:t>Military Pay Differential</w:t>
            </w:r>
          </w:p>
          <w:p w14:paraId="6A73DAC0" w14:textId="333771D5" w:rsidR="00785D51" w:rsidRPr="005917C4" w:rsidRDefault="00785D51" w:rsidP="00560BD4">
            <w:pPr>
              <w:rPr>
                <w:rFonts w:asciiTheme="minorHAnsi" w:hAnsiTheme="minorHAnsi" w:cstheme="minorHAnsi"/>
              </w:rPr>
            </w:pPr>
            <w:r w:rsidRPr="005917C4">
              <w:rPr>
                <w:rFonts w:asciiTheme="minorHAnsi" w:hAnsiTheme="minorHAnsi" w:cstheme="minorHAnsi"/>
              </w:rPr>
              <w:t xml:space="preserve">A pay differential, limited to $1,000 per pay period for eligible State of Kansas employees who are activated to full-time duty, </w:t>
            </w:r>
            <w:proofErr w:type="gramStart"/>
            <w:r w:rsidRPr="005917C4">
              <w:rPr>
                <w:rFonts w:asciiTheme="minorHAnsi" w:hAnsiTheme="minorHAnsi" w:cstheme="minorHAnsi"/>
              </w:rPr>
              <w:t>mobilized</w:t>
            </w:r>
            <w:proofErr w:type="gramEnd"/>
            <w:r w:rsidRPr="005917C4">
              <w:rPr>
                <w:rFonts w:asciiTheme="minorHAnsi" w:hAnsiTheme="minorHAnsi" w:cstheme="minorHAnsi"/>
              </w:rPr>
              <w:t xml:space="preserve"> and deployed for more than 30 consecutive days in support of a military operation to defend our nation, on and after July 1, 2008.</w:t>
            </w:r>
          </w:p>
          <w:p w14:paraId="799BE8F7" w14:textId="3618AF08" w:rsidR="00785D51" w:rsidRDefault="00785D51" w:rsidP="00560B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60BD4">
              <w:rPr>
                <w:rFonts w:asciiTheme="minorHAnsi" w:hAnsiTheme="minorHAnsi" w:cstheme="minorHAnsi"/>
              </w:rPr>
              <w:t>These payments are exempt from FICA</w:t>
            </w:r>
            <w:r w:rsidR="004C18A9">
              <w:rPr>
                <w:rFonts w:asciiTheme="minorHAnsi" w:hAnsiTheme="minorHAnsi" w:cstheme="minorHAnsi"/>
              </w:rPr>
              <w:t xml:space="preserve"> </w:t>
            </w:r>
            <w:r w:rsidRPr="00560BD4">
              <w:rPr>
                <w:rFonts w:asciiTheme="minorHAnsi" w:hAnsiTheme="minorHAnsi" w:cstheme="minorHAnsi"/>
              </w:rPr>
              <w:t>but are to be considered wages for federal income tax purposes. These wages are therefore reportable on the employee’s W-2, in Box 1.</w:t>
            </w:r>
          </w:p>
          <w:p w14:paraId="6BFFA570" w14:textId="36AD04AC" w:rsidR="00BB53A8" w:rsidRDefault="00BB53A8" w:rsidP="00BB53A8">
            <w:pPr>
              <w:rPr>
                <w:rFonts w:asciiTheme="minorHAnsi" w:hAnsiTheme="minorHAnsi" w:cstheme="minorHAnsi"/>
              </w:rPr>
            </w:pPr>
          </w:p>
          <w:p w14:paraId="2699117A" w14:textId="59404ABD" w:rsidR="00BB53A8" w:rsidRDefault="00BB53A8" w:rsidP="00BB53A8">
            <w:pPr>
              <w:rPr>
                <w:rFonts w:asciiTheme="minorHAnsi" w:hAnsiTheme="minorHAnsi" w:cstheme="minorHAnsi"/>
              </w:rPr>
            </w:pPr>
          </w:p>
          <w:p w14:paraId="12801133" w14:textId="77777777" w:rsidR="00BB53A8" w:rsidRPr="00BB53A8" w:rsidRDefault="00BB53A8" w:rsidP="00BB53A8">
            <w:pPr>
              <w:rPr>
                <w:rFonts w:asciiTheme="minorHAnsi" w:hAnsiTheme="minorHAnsi" w:cstheme="minorHAnsi"/>
              </w:rPr>
            </w:pPr>
          </w:p>
          <w:p w14:paraId="2ACC7A67" w14:textId="77777777" w:rsidR="005917C4" w:rsidRDefault="005917C4" w:rsidP="00785D51">
            <w:pPr>
              <w:ind w:left="1440"/>
              <w:rPr>
                <w:rFonts w:asciiTheme="minorHAnsi" w:hAnsiTheme="minorHAnsi" w:cstheme="minorHAnsi"/>
              </w:rPr>
            </w:pPr>
          </w:p>
          <w:p w14:paraId="738D8CF4" w14:textId="77777777" w:rsidR="00031FB8" w:rsidRDefault="00031FB8" w:rsidP="00031F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MILITARY DIFFERENTIAL PAY</w:t>
            </w:r>
          </w:p>
          <w:p w14:paraId="065548E9" w14:textId="3EFE54B6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126E5A">
              <w:rPr>
                <w:rFonts w:asciiTheme="minorHAnsi" w:hAnsiTheme="minorHAnsi" w:cstheme="minorHAnsi"/>
              </w:rPr>
              <w:t>Agencies should notify eligible employees</w:t>
            </w:r>
            <w:r w:rsidR="00440095">
              <w:rPr>
                <w:rFonts w:asciiTheme="minorHAnsi" w:hAnsiTheme="minorHAnsi" w:cstheme="minorHAnsi"/>
              </w:rPr>
              <w:t>,</w:t>
            </w:r>
            <w:r w:rsidRPr="00126E5A">
              <w:rPr>
                <w:rFonts w:asciiTheme="minorHAnsi" w:hAnsiTheme="minorHAnsi" w:cstheme="minorHAnsi"/>
              </w:rPr>
              <w:t xml:space="preserve"> or their legal representative</w:t>
            </w:r>
            <w:r w:rsidR="00440095">
              <w:rPr>
                <w:rFonts w:asciiTheme="minorHAnsi" w:hAnsiTheme="minorHAnsi" w:cstheme="minorHAnsi"/>
              </w:rPr>
              <w:t>,</w:t>
            </w:r>
            <w:r w:rsidRPr="00126E5A">
              <w:rPr>
                <w:rFonts w:asciiTheme="minorHAnsi" w:hAnsiTheme="minorHAnsi" w:cstheme="minorHAnsi"/>
              </w:rPr>
              <w:t xml:space="preserve"> of the employee’s potential eligibility for a </w:t>
            </w:r>
            <w:r w:rsidR="00440095">
              <w:rPr>
                <w:rFonts w:asciiTheme="minorHAnsi" w:hAnsiTheme="minorHAnsi" w:cstheme="minorHAnsi"/>
              </w:rPr>
              <w:t>m</w:t>
            </w:r>
            <w:r w:rsidRPr="00126E5A">
              <w:rPr>
                <w:rFonts w:asciiTheme="minorHAnsi" w:hAnsiTheme="minorHAnsi" w:cstheme="minorHAnsi"/>
              </w:rPr>
              <w:t xml:space="preserve">ilitary </w:t>
            </w:r>
            <w:r w:rsidR="00440095">
              <w:rPr>
                <w:rFonts w:asciiTheme="minorHAnsi" w:hAnsiTheme="minorHAnsi" w:cstheme="minorHAnsi"/>
              </w:rPr>
              <w:t>p</w:t>
            </w:r>
            <w:r w:rsidRPr="00126E5A">
              <w:rPr>
                <w:rFonts w:asciiTheme="minorHAnsi" w:hAnsiTheme="minorHAnsi" w:cstheme="minorHAnsi"/>
              </w:rPr>
              <w:t xml:space="preserve">ay </w:t>
            </w:r>
            <w:r w:rsidR="00440095">
              <w:rPr>
                <w:rFonts w:asciiTheme="minorHAnsi" w:hAnsiTheme="minorHAnsi" w:cstheme="minorHAnsi"/>
              </w:rPr>
              <w:t>d</w:t>
            </w:r>
            <w:r w:rsidRPr="00126E5A">
              <w:rPr>
                <w:rFonts w:asciiTheme="minorHAnsi" w:hAnsiTheme="minorHAnsi" w:cstheme="minorHAnsi"/>
              </w:rPr>
              <w:t xml:space="preserve">ifferential. </w:t>
            </w:r>
          </w:p>
          <w:p w14:paraId="10DAD1BD" w14:textId="33145EAC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031FB8">
              <w:rPr>
                <w:rFonts w:asciiTheme="minorHAnsi" w:hAnsiTheme="minorHAnsi" w:cstheme="minorHAnsi"/>
              </w:rPr>
              <w:t>1</w:t>
            </w:r>
            <w:r w:rsidR="00031FB8" w:rsidRPr="00126E5A">
              <w:rPr>
                <w:rFonts w:asciiTheme="minorHAnsi" w:hAnsiTheme="minorHAnsi" w:cstheme="minorHAnsi"/>
              </w:rPr>
              <w:t xml:space="preserve">) For a </w:t>
            </w:r>
            <w:r w:rsidR="00440095">
              <w:rPr>
                <w:rFonts w:asciiTheme="minorHAnsi" w:hAnsiTheme="minorHAnsi" w:cstheme="minorHAnsi"/>
              </w:rPr>
              <w:t>m</w:t>
            </w:r>
            <w:r w:rsidR="00031FB8" w:rsidRPr="00126E5A">
              <w:rPr>
                <w:rFonts w:asciiTheme="minorHAnsi" w:hAnsiTheme="minorHAnsi" w:cstheme="minorHAnsi"/>
              </w:rPr>
              <w:t xml:space="preserve">ilitary </w:t>
            </w:r>
            <w:r w:rsidR="00440095">
              <w:rPr>
                <w:rFonts w:asciiTheme="minorHAnsi" w:hAnsiTheme="minorHAnsi" w:cstheme="minorHAnsi"/>
              </w:rPr>
              <w:t>p</w:t>
            </w:r>
            <w:r w:rsidR="00B36EBA">
              <w:rPr>
                <w:rFonts w:asciiTheme="minorHAnsi" w:hAnsiTheme="minorHAnsi" w:cstheme="minorHAnsi"/>
              </w:rPr>
              <w:t xml:space="preserve">ay </w:t>
            </w:r>
            <w:r w:rsidR="00440095">
              <w:rPr>
                <w:rFonts w:asciiTheme="minorHAnsi" w:hAnsiTheme="minorHAnsi" w:cstheme="minorHAnsi"/>
              </w:rPr>
              <w:t>d</w:t>
            </w:r>
            <w:r w:rsidR="00B36EBA">
              <w:rPr>
                <w:rFonts w:asciiTheme="minorHAnsi" w:hAnsiTheme="minorHAnsi" w:cstheme="minorHAnsi"/>
              </w:rPr>
              <w:t xml:space="preserve">ifferential </w:t>
            </w:r>
            <w:r w:rsidR="00440095">
              <w:rPr>
                <w:rFonts w:asciiTheme="minorHAnsi" w:hAnsiTheme="minorHAnsi" w:cstheme="minorHAnsi"/>
              </w:rPr>
              <w:t>p</w:t>
            </w:r>
            <w:r w:rsidR="00031FB8" w:rsidRPr="00126E5A">
              <w:rPr>
                <w:rFonts w:asciiTheme="minorHAnsi" w:hAnsiTheme="minorHAnsi" w:cstheme="minorHAnsi"/>
              </w:rPr>
              <w:t xml:space="preserve">ayment, </w:t>
            </w:r>
            <w:r w:rsidR="00440095">
              <w:rPr>
                <w:rFonts w:asciiTheme="minorHAnsi" w:hAnsiTheme="minorHAnsi" w:cstheme="minorHAnsi"/>
              </w:rPr>
              <w:t xml:space="preserve">the </w:t>
            </w:r>
            <w:r w:rsidR="00031FB8" w:rsidRPr="00126E5A">
              <w:rPr>
                <w:rFonts w:asciiTheme="minorHAnsi" w:hAnsiTheme="minorHAnsi" w:cstheme="minorHAnsi"/>
              </w:rPr>
              <w:t xml:space="preserve">employee should </w:t>
            </w:r>
            <w:r w:rsidR="00031FB8">
              <w:rPr>
                <w:rFonts w:asciiTheme="minorHAnsi" w:hAnsiTheme="minorHAnsi" w:cstheme="minorHAnsi"/>
              </w:rPr>
              <w:t xml:space="preserve">present the following to their </w:t>
            </w:r>
            <w:r w:rsidR="00440095">
              <w:rPr>
                <w:rFonts w:asciiTheme="minorHAnsi" w:hAnsiTheme="minorHAnsi" w:cstheme="minorHAnsi"/>
              </w:rPr>
              <w:t>personnel</w:t>
            </w:r>
            <w:r w:rsidR="00031FB8">
              <w:rPr>
                <w:rFonts w:asciiTheme="minorHAnsi" w:hAnsiTheme="minorHAnsi" w:cstheme="minorHAnsi"/>
              </w:rPr>
              <w:t xml:space="preserve"> office:  </w:t>
            </w:r>
          </w:p>
          <w:p w14:paraId="35ACF0E4" w14:textId="77777777" w:rsidR="00031FB8" w:rsidRDefault="00031FB8" w:rsidP="00031FB8">
            <w:pPr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126E5A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C</w:t>
            </w:r>
            <w:r w:rsidRPr="00126E5A">
              <w:rPr>
                <w:rFonts w:asciiTheme="minorHAnsi" w:hAnsiTheme="minorHAnsi" w:cstheme="minorHAnsi"/>
              </w:rPr>
              <w:t>opy of his or her military orders</w:t>
            </w:r>
          </w:p>
          <w:p w14:paraId="46A21B44" w14:textId="77777777" w:rsidR="00031FB8" w:rsidRDefault="00031FB8" w:rsidP="00031FB8">
            <w:pPr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C</w:t>
            </w:r>
            <w:r w:rsidRPr="00126E5A">
              <w:rPr>
                <w:rFonts w:asciiTheme="minorHAnsi" w:hAnsiTheme="minorHAnsi" w:cstheme="minorHAnsi"/>
              </w:rPr>
              <w:t>ompleted W-9 form</w:t>
            </w:r>
          </w:p>
          <w:p w14:paraId="53FCE1A2" w14:textId="77777777" w:rsidR="00031FB8" w:rsidRPr="00126E5A" w:rsidRDefault="00031FB8" w:rsidP="00031FB8">
            <w:pPr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C</w:t>
            </w:r>
            <w:r w:rsidRPr="00126E5A">
              <w:rPr>
                <w:rFonts w:asciiTheme="minorHAnsi" w:hAnsiTheme="minorHAnsi" w:cstheme="minorHAnsi"/>
              </w:rPr>
              <w:t>ompleted Application for Military Activation and Military Pay Differential Payment Form</w:t>
            </w:r>
          </w:p>
          <w:p w14:paraId="2768ED34" w14:textId="38B9C4FD" w:rsidR="00031FB8" w:rsidRDefault="00031FB8" w:rsidP="00031FB8">
            <w:pPr>
              <w:ind w:left="720"/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NOTE – Payments cannot be made prior to the 30</w:t>
            </w:r>
            <w:r w:rsidR="00974F56">
              <w:rPr>
                <w:rFonts w:asciiTheme="minorHAnsi" w:hAnsiTheme="minorHAnsi" w:cstheme="minorHAnsi"/>
              </w:rPr>
              <w:t>-</w:t>
            </w:r>
            <w:r w:rsidRPr="00126E5A">
              <w:rPr>
                <w:rFonts w:asciiTheme="minorHAnsi" w:hAnsiTheme="minorHAnsi" w:cstheme="minorHAnsi"/>
              </w:rPr>
              <w:t>day requirement and location stipulations.</w:t>
            </w:r>
          </w:p>
          <w:p w14:paraId="7F60A633" w14:textId="77777777" w:rsidR="00031FB8" w:rsidRPr="00126E5A" w:rsidRDefault="00031FB8" w:rsidP="00031FB8">
            <w:pPr>
              <w:ind w:left="720"/>
              <w:rPr>
                <w:rFonts w:asciiTheme="minorHAnsi" w:hAnsiTheme="minorHAnsi" w:cstheme="minorHAnsi"/>
              </w:rPr>
            </w:pPr>
          </w:p>
          <w:p w14:paraId="39D4E937" w14:textId="2F80B923" w:rsidR="00031FB8" w:rsidRDefault="00031FB8" w:rsidP="00031FB8">
            <w:pPr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126E5A">
              <w:rPr>
                <w:rFonts w:asciiTheme="minorHAnsi" w:hAnsiTheme="minorHAnsi" w:cstheme="minorHAnsi"/>
              </w:rPr>
              <w:t xml:space="preserve"> Agencies should complete the Military Activation Payment and Pay Differential Eligibility Checklist</w:t>
            </w:r>
            <w:r w:rsidR="004C18A9">
              <w:rPr>
                <w:rFonts w:asciiTheme="minorHAnsi" w:hAnsiTheme="minorHAnsi" w:cstheme="minorHAnsi"/>
              </w:rPr>
              <w:t xml:space="preserve"> </w:t>
            </w:r>
            <w:r w:rsidRPr="00126E5A">
              <w:rPr>
                <w:rFonts w:asciiTheme="minorHAnsi" w:hAnsiTheme="minorHAnsi" w:cstheme="minorHAnsi"/>
              </w:rPr>
              <w:t>to make sure the employee meets the eligibility requirements for payment.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087A259D" w14:textId="5101B0C1" w:rsidR="009D5681" w:rsidRDefault="009D5681" w:rsidP="00031FB8">
            <w:pPr>
              <w:rPr>
                <w:rFonts w:asciiTheme="minorHAnsi" w:hAnsiTheme="minorHAnsi" w:cstheme="minorHAnsi"/>
              </w:rPr>
            </w:pPr>
          </w:p>
          <w:p w14:paraId="5B529E48" w14:textId="65906C76" w:rsidR="00B36EBA" w:rsidRDefault="00031FB8" w:rsidP="00031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 </w:t>
            </w:r>
            <w:r w:rsidRPr="00126E5A">
              <w:rPr>
                <w:rFonts w:asciiTheme="minorHAnsi" w:hAnsiTheme="minorHAnsi" w:cstheme="minorHAnsi"/>
              </w:rPr>
              <w:t xml:space="preserve">If an employee does meet the eligibility requirements for a </w:t>
            </w:r>
            <w:r w:rsidR="00440095">
              <w:rPr>
                <w:rFonts w:asciiTheme="minorHAnsi" w:hAnsiTheme="minorHAnsi" w:cstheme="minorHAnsi"/>
              </w:rPr>
              <w:t>m</w:t>
            </w:r>
            <w:r w:rsidRPr="00126E5A">
              <w:rPr>
                <w:rFonts w:asciiTheme="minorHAnsi" w:hAnsiTheme="minorHAnsi" w:cstheme="minorHAnsi"/>
              </w:rPr>
              <w:t xml:space="preserve">ilitary </w:t>
            </w:r>
            <w:r w:rsidR="00440095">
              <w:rPr>
                <w:rFonts w:asciiTheme="minorHAnsi" w:hAnsiTheme="minorHAnsi" w:cstheme="minorHAnsi"/>
              </w:rPr>
              <w:t>p</w:t>
            </w:r>
            <w:r w:rsidR="00112110">
              <w:rPr>
                <w:rFonts w:asciiTheme="minorHAnsi" w:hAnsiTheme="minorHAnsi" w:cstheme="minorHAnsi"/>
              </w:rPr>
              <w:t xml:space="preserve">ay </w:t>
            </w:r>
            <w:r w:rsidR="00440095">
              <w:rPr>
                <w:rFonts w:asciiTheme="minorHAnsi" w:hAnsiTheme="minorHAnsi" w:cstheme="minorHAnsi"/>
              </w:rPr>
              <w:t>d</w:t>
            </w:r>
            <w:r w:rsidR="00112110">
              <w:rPr>
                <w:rFonts w:asciiTheme="minorHAnsi" w:hAnsiTheme="minorHAnsi" w:cstheme="minorHAnsi"/>
              </w:rPr>
              <w:t xml:space="preserve">ifferential </w:t>
            </w:r>
            <w:r w:rsidR="00440095">
              <w:rPr>
                <w:rFonts w:asciiTheme="minorHAnsi" w:hAnsiTheme="minorHAnsi" w:cstheme="minorHAnsi"/>
              </w:rPr>
              <w:t>p</w:t>
            </w:r>
            <w:r w:rsidRPr="00126E5A">
              <w:rPr>
                <w:rFonts w:asciiTheme="minorHAnsi" w:hAnsiTheme="minorHAnsi" w:cstheme="minorHAnsi"/>
              </w:rPr>
              <w:t xml:space="preserve">ayment, the agency should submit the completed copy of the Application for Military Activation and Military Pay Differential Payment Form to the Office of the Adjutant General of Kansas. </w:t>
            </w:r>
          </w:p>
          <w:p w14:paraId="00A1DCE5" w14:textId="77777777" w:rsidR="00B36EBA" w:rsidRPr="00126E5A" w:rsidRDefault="00B36EBA" w:rsidP="00B36EBA">
            <w:pPr>
              <w:jc w:val="center"/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Adjutant General's Department</w:t>
            </w:r>
          </w:p>
          <w:p w14:paraId="5CA3E26E" w14:textId="77777777" w:rsidR="00B36EBA" w:rsidRPr="00126E5A" w:rsidRDefault="00B36EBA" w:rsidP="00B36EBA">
            <w:pPr>
              <w:jc w:val="center"/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ATTN: Michael E. Neth</w:t>
            </w:r>
          </w:p>
          <w:p w14:paraId="16327A5E" w14:textId="77777777" w:rsidR="00B36EBA" w:rsidRPr="00126E5A" w:rsidRDefault="00B36EBA" w:rsidP="00B36EBA">
            <w:pPr>
              <w:jc w:val="center"/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2722 S.W. Topeka Blvd.</w:t>
            </w:r>
          </w:p>
          <w:p w14:paraId="298D3660" w14:textId="77777777" w:rsidR="00B36EBA" w:rsidRDefault="00B36EBA" w:rsidP="00B36EBA">
            <w:pPr>
              <w:jc w:val="center"/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Topeka, KS 66611-1287</w:t>
            </w:r>
          </w:p>
          <w:p w14:paraId="1E71E742" w14:textId="73185FBA" w:rsidR="00031FB8" w:rsidRDefault="004C18A9" w:rsidP="00031FB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If </w:t>
            </w:r>
            <w:r w:rsidR="00031FB8">
              <w:rPr>
                <w:rFonts w:asciiTheme="minorHAnsi" w:hAnsiTheme="minorHAnsi" w:cstheme="minorHAnsi"/>
                <w:b/>
                <w:bCs/>
              </w:rPr>
              <w:t>Approved:</w:t>
            </w:r>
          </w:p>
          <w:p w14:paraId="12C18F7E" w14:textId="70FA5521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 </w:t>
            </w:r>
            <w:r w:rsidR="00440095">
              <w:rPr>
                <w:rFonts w:asciiTheme="minorHAnsi" w:hAnsiTheme="minorHAnsi" w:cstheme="minorHAnsi"/>
              </w:rPr>
              <w:t>The e</w:t>
            </w:r>
            <w:r w:rsidRPr="00126E5A">
              <w:rPr>
                <w:rFonts w:asciiTheme="minorHAnsi" w:hAnsiTheme="minorHAnsi" w:cstheme="minorHAnsi"/>
              </w:rPr>
              <w:t xml:space="preserve">mployee must submit copies of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126E5A">
              <w:rPr>
                <w:rFonts w:asciiTheme="minorHAnsi" w:hAnsiTheme="minorHAnsi" w:cstheme="minorHAnsi"/>
              </w:rPr>
              <w:t>Defense Finance and Accounting Service Military Leave and Earnings Statement (LES) to the</w:t>
            </w:r>
            <w:r>
              <w:rPr>
                <w:rFonts w:asciiTheme="minorHAnsi" w:hAnsiTheme="minorHAnsi" w:cstheme="minorHAnsi"/>
              </w:rPr>
              <w:t xml:space="preserve">ir </w:t>
            </w:r>
            <w:r w:rsidRPr="00126E5A">
              <w:rPr>
                <w:rFonts w:asciiTheme="minorHAnsi" w:hAnsiTheme="minorHAnsi" w:cstheme="minorHAnsi"/>
              </w:rPr>
              <w:t>agency each time the</w:t>
            </w:r>
            <w:r>
              <w:rPr>
                <w:rFonts w:asciiTheme="minorHAnsi" w:hAnsiTheme="minorHAnsi" w:cstheme="minorHAnsi"/>
              </w:rPr>
              <w:t xml:space="preserve">y receive military pay </w:t>
            </w:r>
            <w:r w:rsidRPr="00126E5A">
              <w:rPr>
                <w:rFonts w:asciiTheme="minorHAnsi" w:hAnsiTheme="minorHAnsi" w:cstheme="minorHAnsi"/>
              </w:rPr>
              <w:t xml:space="preserve">so the agency can calculate the </w:t>
            </w:r>
            <w:r>
              <w:rPr>
                <w:rFonts w:asciiTheme="minorHAnsi" w:hAnsiTheme="minorHAnsi" w:cstheme="minorHAnsi"/>
              </w:rPr>
              <w:t xml:space="preserve">MDP </w:t>
            </w:r>
            <w:r w:rsidRPr="00126E5A">
              <w:rPr>
                <w:rFonts w:asciiTheme="minorHAnsi" w:hAnsiTheme="minorHAnsi" w:cstheme="minorHAnsi"/>
              </w:rPr>
              <w:t>payment.</w:t>
            </w:r>
          </w:p>
          <w:p w14:paraId="26AA9750" w14:textId="4EA0BE36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(1)</w:t>
            </w:r>
            <w:r w:rsidR="00031FB8" w:rsidRPr="00126E5A">
              <w:rPr>
                <w:rFonts w:asciiTheme="minorHAnsi" w:hAnsiTheme="minorHAnsi" w:cstheme="minorHAnsi"/>
              </w:rPr>
              <w:t xml:space="preserve"> The employee m</w:t>
            </w:r>
            <w:r w:rsidR="004C18A9">
              <w:rPr>
                <w:rFonts w:asciiTheme="minorHAnsi" w:hAnsiTheme="minorHAnsi" w:cstheme="minorHAnsi"/>
              </w:rPr>
              <w:t>ust</w:t>
            </w:r>
            <w:r w:rsidR="00031FB8" w:rsidRPr="00126E5A">
              <w:rPr>
                <w:rFonts w:asciiTheme="minorHAnsi" w:hAnsiTheme="minorHAnsi" w:cstheme="minorHAnsi"/>
              </w:rPr>
              <w:t xml:space="preserve"> submit the LES in the most expeditious way available</w:t>
            </w:r>
            <w:r w:rsidR="00440095">
              <w:rPr>
                <w:rFonts w:asciiTheme="minorHAnsi" w:hAnsiTheme="minorHAnsi" w:cstheme="minorHAnsi"/>
              </w:rPr>
              <w:t>;</w:t>
            </w:r>
            <w:r w:rsidR="00031FB8" w:rsidRPr="00126E5A">
              <w:rPr>
                <w:rFonts w:asciiTheme="minorHAnsi" w:hAnsiTheme="minorHAnsi" w:cstheme="minorHAnsi"/>
              </w:rPr>
              <w:t xml:space="preserve"> electronic submission is encouraged.</w:t>
            </w:r>
          </w:p>
          <w:p w14:paraId="1559EB26" w14:textId="77777777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 The employee’s </w:t>
            </w:r>
            <w:r w:rsidRPr="00126E5A">
              <w:rPr>
                <w:rFonts w:asciiTheme="minorHAnsi" w:hAnsiTheme="minorHAnsi" w:cstheme="minorHAnsi"/>
              </w:rPr>
              <w:t xml:space="preserve">military wages will be the employee’s military </w:t>
            </w:r>
            <w:r w:rsidRPr="00AB6D4A">
              <w:rPr>
                <w:rFonts w:asciiTheme="minorHAnsi" w:hAnsiTheme="minorHAnsi" w:cstheme="minorHAnsi"/>
                <w:b/>
                <w:bCs/>
                <w:color w:val="FF0000"/>
              </w:rPr>
              <w:t>base pay</w:t>
            </w:r>
            <w:r w:rsidRPr="00AB6D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26E5A">
              <w:rPr>
                <w:rFonts w:asciiTheme="minorHAnsi" w:hAnsiTheme="minorHAnsi" w:cstheme="minorHAnsi"/>
              </w:rPr>
              <w:t>as listed on the employee’s LES.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359EDDC2" w14:textId="7F325D49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 w:rsidRPr="00BB53A8">
              <w:rPr>
                <w:rFonts w:asciiTheme="minorHAnsi" w:hAnsiTheme="minorHAnsi" w:cstheme="minorHAnsi"/>
              </w:rPr>
              <w:t>(1</w:t>
            </w:r>
            <w:r w:rsidR="00031FB8" w:rsidRPr="00BB53A8">
              <w:rPr>
                <w:rFonts w:asciiTheme="minorHAnsi" w:hAnsiTheme="minorHAnsi" w:cstheme="minorHAnsi"/>
              </w:rPr>
              <w:t xml:space="preserve">) If the military </w:t>
            </w:r>
            <w:r w:rsidR="00031FB8" w:rsidRPr="00AB6D4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base </w:t>
            </w:r>
            <w:r w:rsidR="00AB6D4A">
              <w:rPr>
                <w:rFonts w:asciiTheme="minorHAnsi" w:hAnsiTheme="minorHAnsi" w:cstheme="minorHAnsi"/>
                <w:b/>
                <w:bCs/>
                <w:color w:val="FF0000"/>
              </w:rPr>
              <w:t>p</w:t>
            </w:r>
            <w:r w:rsidR="00031FB8" w:rsidRPr="00AB6D4A">
              <w:rPr>
                <w:rFonts w:asciiTheme="minorHAnsi" w:hAnsiTheme="minorHAnsi" w:cstheme="minorHAnsi"/>
                <w:b/>
                <w:bCs/>
                <w:color w:val="FF0000"/>
              </w:rPr>
              <w:t>ay</w:t>
            </w:r>
            <w:r w:rsidR="00031FB8" w:rsidRPr="00AB6D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31FB8" w:rsidRPr="00BB53A8">
              <w:rPr>
                <w:rFonts w:asciiTheme="minorHAnsi" w:hAnsiTheme="minorHAnsi" w:cstheme="minorHAnsi"/>
              </w:rPr>
              <w:t xml:space="preserve">is a semi-monthly amount, multiply the semi-monthly amount by 24 and then divide by 26 to determine a bi-monthly amount for the </w:t>
            </w:r>
            <w:r w:rsidR="00031FB8" w:rsidRPr="00AB6D4A">
              <w:rPr>
                <w:rFonts w:asciiTheme="minorHAnsi" w:hAnsiTheme="minorHAnsi" w:cstheme="minorHAnsi"/>
                <w:b/>
                <w:bCs/>
                <w:color w:val="FF0000"/>
              </w:rPr>
              <w:t>military base pay</w:t>
            </w:r>
            <w:r w:rsidR="00031FB8" w:rsidRPr="00BB53A8">
              <w:rPr>
                <w:rFonts w:asciiTheme="minorHAnsi" w:hAnsiTheme="minorHAnsi" w:cstheme="minorHAnsi"/>
              </w:rPr>
              <w:t>.</w:t>
            </w:r>
          </w:p>
          <w:p w14:paraId="51A4E5B2" w14:textId="52083BFA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(2)</w:t>
            </w:r>
            <w:r w:rsidR="00031FB8" w:rsidRPr="00126E5A">
              <w:rPr>
                <w:rFonts w:asciiTheme="minorHAnsi" w:hAnsiTheme="minorHAnsi" w:cstheme="minorHAnsi"/>
              </w:rPr>
              <w:t xml:space="preserve"> State of Kansas employee wages are based on the hourly or bi-weekly wage rate exclusive of any overtime, non-permanent shift differentials, or salary additions such as a wage differential.</w:t>
            </w:r>
          </w:p>
          <w:p w14:paraId="07BDAEFD" w14:textId="2E1BF093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(3)</w:t>
            </w:r>
            <w:r w:rsidR="00031FB8" w:rsidRPr="00126E5A">
              <w:rPr>
                <w:rFonts w:asciiTheme="minorHAnsi" w:hAnsiTheme="minorHAnsi" w:cstheme="minorHAnsi"/>
              </w:rPr>
              <w:t xml:space="preserve"> If the rate provided is the hourly rate, agencies should multiply that rate by 80 to determine the bi-monthly State of Kansas employee wages.</w:t>
            </w:r>
          </w:p>
          <w:p w14:paraId="701C0408" w14:textId="2EC358F9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(4) </w:t>
            </w:r>
            <w:r w:rsidR="00031FB8" w:rsidRPr="00126E5A">
              <w:rPr>
                <w:rFonts w:asciiTheme="minorHAnsi" w:hAnsiTheme="minorHAnsi" w:cstheme="minorHAnsi"/>
              </w:rPr>
              <w:t>Agencies should then compare the bi-monthly amount of military base pay and the bi-monthly State of Kansas employee wages.</w:t>
            </w:r>
          </w:p>
          <w:p w14:paraId="3707653D" w14:textId="5DFE1C37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(5)</w:t>
            </w:r>
            <w:r w:rsidRPr="00C2161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31FB8" w:rsidRPr="00C21612">
              <w:rPr>
                <w:rFonts w:asciiTheme="minorHAnsi" w:hAnsiTheme="minorHAnsi" w:cstheme="minorHAnsi"/>
                <w:b/>
                <w:bCs/>
                <w:color w:val="FF0000"/>
              </w:rPr>
              <w:t>If the bi-monthly amount of military base pay is more than the bi-monthly State of Kansas employee wages, the employee will not receive a Military Pay Differential.</w:t>
            </w:r>
          </w:p>
          <w:p w14:paraId="370713BF" w14:textId="78F4AF83" w:rsidR="00031FB8" w:rsidRDefault="009D5681" w:rsidP="00031FB8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(6)</w:t>
            </w:r>
            <w:r w:rsidR="00031FB8" w:rsidRPr="00126E5A">
              <w:rPr>
                <w:rFonts w:asciiTheme="minorHAnsi" w:hAnsiTheme="minorHAnsi" w:cstheme="minorHAnsi"/>
              </w:rPr>
              <w:t xml:space="preserve"> If the bi-monthly amount of military base pay is less than the bi-monthly State of Kansas employee wages, the agency should subtract the bi-monthly amount of military base pay from the bi-monthly State of Kansas employee wages. The difference is the amount of the Military Pay Differential for the employee.</w:t>
            </w:r>
          </w:p>
          <w:p w14:paraId="6677E9CF" w14:textId="77777777" w:rsidR="00031FB8" w:rsidRPr="00126E5A" w:rsidRDefault="00031FB8" w:rsidP="00031FB8">
            <w:pPr>
              <w:ind w:left="720"/>
              <w:rPr>
                <w:rFonts w:asciiTheme="minorHAnsi" w:hAnsiTheme="minorHAnsi" w:cstheme="minorHAnsi"/>
              </w:rPr>
            </w:pPr>
          </w:p>
          <w:p w14:paraId="3C359CCB" w14:textId="77777777" w:rsidR="00031FB8" w:rsidRDefault="00031FB8" w:rsidP="00031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 </w:t>
            </w:r>
            <w:r w:rsidRPr="00126E5A">
              <w:rPr>
                <w:rFonts w:asciiTheme="minorHAnsi" w:hAnsiTheme="minorHAnsi" w:cstheme="minorHAnsi"/>
              </w:rPr>
              <w:t>The agency is responsible for the calculation of any payment due the employee. This calculation should be performed bi-weekly after the employee furnishes the agency with the most current Military Leave and Earnings Statement.</w:t>
            </w:r>
          </w:p>
          <w:p w14:paraId="7C6172FC" w14:textId="77777777" w:rsidR="005917C4" w:rsidRPr="00126E5A" w:rsidRDefault="005917C4" w:rsidP="00031FB8">
            <w:pPr>
              <w:ind w:left="720"/>
              <w:rPr>
                <w:rFonts w:asciiTheme="minorHAnsi" w:hAnsiTheme="minorHAnsi" w:cstheme="minorHAnsi"/>
              </w:rPr>
            </w:pPr>
          </w:p>
          <w:p w14:paraId="24A1D610" w14:textId="77777777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 w:rsidRPr="00C02ED6">
              <w:rPr>
                <w:rFonts w:asciiTheme="minorHAnsi" w:hAnsiTheme="minorHAnsi" w:cstheme="minorHAnsi"/>
                <w:b/>
                <w:bCs/>
              </w:rPr>
              <w:t>CONTACT PERSONS</w:t>
            </w:r>
          </w:p>
          <w:p w14:paraId="6F9DE72C" w14:textId="07ADF4C3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• For program guidelines, contact Kraig Knowlton at (785) 296-1082 or by email at: Kraig.Knowlton@ks.gov</w:t>
            </w:r>
          </w:p>
          <w:p w14:paraId="17BA6824" w14:textId="348154AD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• For questions concerning Military Pay Differential payments, email DOA_PAYROLL@KS.GOV</w:t>
            </w:r>
          </w:p>
          <w:p w14:paraId="6539E8F2" w14:textId="73488FB0" w:rsidR="00031FB8" w:rsidRPr="00126E5A" w:rsidRDefault="00031FB8" w:rsidP="00031FB8">
            <w:pPr>
              <w:rPr>
                <w:rFonts w:asciiTheme="minorHAnsi" w:hAnsiTheme="minorHAnsi" w:cstheme="minorHAnsi"/>
              </w:rPr>
            </w:pPr>
            <w:r w:rsidRPr="00126E5A">
              <w:rPr>
                <w:rFonts w:asciiTheme="minorHAnsi" w:hAnsiTheme="minorHAnsi" w:cstheme="minorHAnsi"/>
              </w:rPr>
              <w:t>• For questions concerning military issues such as military orders</w:t>
            </w:r>
            <w:r w:rsidR="002869BC">
              <w:rPr>
                <w:rFonts w:asciiTheme="minorHAnsi" w:hAnsiTheme="minorHAnsi" w:cstheme="minorHAnsi"/>
              </w:rPr>
              <w:t xml:space="preserve"> and</w:t>
            </w:r>
            <w:r w:rsidRPr="00126E5A">
              <w:rPr>
                <w:rFonts w:asciiTheme="minorHAnsi" w:hAnsiTheme="minorHAnsi" w:cstheme="minorHAnsi"/>
              </w:rPr>
              <w:t xml:space="preserve"> individual military status, contact Beth Visocsky at (785) 646-0566 or by email at elizabeth.a.visocsky.nfg@army.mil</w:t>
            </w:r>
          </w:p>
          <w:p w14:paraId="0C0B9D4B" w14:textId="1C0B5532" w:rsidR="00031FB8" w:rsidRPr="003D5B61" w:rsidRDefault="00031FB8" w:rsidP="00785D51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C369E1" w:rsidRPr="00161D65" w14:paraId="567BC71B" w14:textId="77777777" w:rsidTr="00410FD3">
        <w:tc>
          <w:tcPr>
            <w:tcW w:w="810" w:type="dxa"/>
          </w:tcPr>
          <w:p w14:paraId="6BC58664" w14:textId="1A0BC683" w:rsidR="00C369E1" w:rsidRPr="00642264" w:rsidRDefault="007822FC" w:rsidP="00410FD3">
            <w:pPr>
              <w:rPr>
                <w:rFonts w:ascii="Arial" w:hAnsi="Arial" w:cs="Arial"/>
                <w:b/>
                <w:noProof/>
              </w:rPr>
            </w:pPr>
            <w:bookmarkStart w:id="3" w:name="_Hlk88038460"/>
            <w:bookmarkEnd w:id="0"/>
            <w:r>
              <w:rPr>
                <w:rFonts w:ascii="Arial" w:hAnsi="Arial" w:cs="Arial"/>
                <w:b/>
                <w:noProof/>
              </w:rPr>
              <w:t>1</w:t>
            </w:r>
            <w:r w:rsidR="00C369E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14991A38" w14:textId="41BD3D1C" w:rsidR="00C369E1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Enter MDP on </w:t>
            </w:r>
            <w:r w:rsidR="002869BC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imesheet</w:t>
            </w:r>
          </w:p>
          <w:p w14:paraId="30D76A3C" w14:textId="50DDAC28" w:rsidR="00595508" w:rsidRDefault="002869BC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</w:t>
            </w:r>
            <w:r w:rsidR="00787E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military pay d</w:t>
            </w:r>
            <w:r w:rsidR="00787E24">
              <w:rPr>
                <w:rFonts w:asciiTheme="minorHAnsi" w:hAnsiTheme="minorHAnsi" w:cstheme="minorHAnsi"/>
                <w:noProof/>
                <w:sz w:val="22"/>
                <w:szCs w:val="22"/>
              </w:rPr>
              <w:t>ifferential</w:t>
            </w:r>
          </w:p>
          <w:p w14:paraId="06FF9F75" w14:textId="77777777" w:rsidR="00595508" w:rsidRDefault="00595508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78E514F" w14:textId="77777777" w:rsidR="00D96164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A9661E5" w14:textId="77777777" w:rsidR="00D96164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F44D7F5" w14:textId="77777777" w:rsidR="00D96164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2DFF1FC" w14:textId="5BDCA280" w:rsidR="00D96164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Submit</w:t>
            </w:r>
          </w:p>
          <w:p w14:paraId="3A52E689" w14:textId="02465D1D" w:rsidR="00D96164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0293B0" w14:textId="7DA6B41E" w:rsidR="00D96164" w:rsidRDefault="00D96164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58D77C" w14:textId="38451D37" w:rsidR="00112110" w:rsidRDefault="00112110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Follow normal timesheet approval steps.</w:t>
            </w:r>
          </w:p>
          <w:p w14:paraId="1C27CC35" w14:textId="7BDBE58F" w:rsidR="00112110" w:rsidRPr="000F5D73" w:rsidRDefault="00112110" w:rsidP="00123AB6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173F55C7" w14:textId="77777777" w:rsidR="00595508" w:rsidRDefault="00D96164" w:rsidP="00D9616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C72A65" wp14:editId="6AB2523C">
                  <wp:extent cx="4305935" cy="1584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5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D4CEF" w14:textId="77777777" w:rsidR="00D96164" w:rsidRDefault="00D96164" w:rsidP="00D9616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40C49E6" w14:textId="2182C146" w:rsidR="00D96164" w:rsidRPr="00D96164" w:rsidRDefault="00D96164" w:rsidP="00D9616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84EF" w14:textId="77777777" w:rsidR="0028574E" w:rsidRDefault="0028574E" w:rsidP="00996C68">
      <w:r>
        <w:separator/>
      </w:r>
    </w:p>
  </w:endnote>
  <w:endnote w:type="continuationSeparator" w:id="0">
    <w:p w14:paraId="276913D5" w14:textId="77777777" w:rsidR="0028574E" w:rsidRDefault="0028574E" w:rsidP="00996C68">
      <w:r>
        <w:continuationSeparator/>
      </w:r>
    </w:p>
  </w:endnote>
  <w:endnote w:type="continuationNotice" w:id="1">
    <w:p w14:paraId="4E99CEFC" w14:textId="77777777" w:rsidR="0028574E" w:rsidRDefault="00285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10FD3" w:rsidRDefault="00410FD3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40AFE8E2" w:rsidR="00410FD3" w:rsidRPr="00CB7FA7" w:rsidRDefault="00410FD3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Military Differential Pay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3A8E" w14:textId="77777777" w:rsidR="0028574E" w:rsidRDefault="0028574E" w:rsidP="00996C68">
      <w:r>
        <w:separator/>
      </w:r>
    </w:p>
  </w:footnote>
  <w:footnote w:type="continuationSeparator" w:id="0">
    <w:p w14:paraId="51B45723" w14:textId="77777777" w:rsidR="0028574E" w:rsidRDefault="0028574E" w:rsidP="00996C68">
      <w:r>
        <w:continuationSeparator/>
      </w:r>
    </w:p>
  </w:footnote>
  <w:footnote w:type="continuationNotice" w:id="1">
    <w:p w14:paraId="572BBCD2" w14:textId="77777777" w:rsidR="0028574E" w:rsidRDefault="00285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061"/>
    <w:multiLevelType w:val="hybridMultilevel"/>
    <w:tmpl w:val="2154F7B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B34C3"/>
    <w:multiLevelType w:val="hybridMultilevel"/>
    <w:tmpl w:val="5A16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5364297"/>
    <w:multiLevelType w:val="hybridMultilevel"/>
    <w:tmpl w:val="AF5E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002DC"/>
    <w:multiLevelType w:val="hybridMultilevel"/>
    <w:tmpl w:val="3722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F2395"/>
    <w:multiLevelType w:val="hybridMultilevel"/>
    <w:tmpl w:val="B86CB86E"/>
    <w:lvl w:ilvl="0" w:tplc="1B46BA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5C287B"/>
    <w:multiLevelType w:val="hybridMultilevel"/>
    <w:tmpl w:val="8CC87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F7EC7"/>
    <w:multiLevelType w:val="hybridMultilevel"/>
    <w:tmpl w:val="F3FEFB42"/>
    <w:lvl w:ilvl="0" w:tplc="17FC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47E6E"/>
    <w:multiLevelType w:val="hybridMultilevel"/>
    <w:tmpl w:val="40C2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406F2"/>
    <w:multiLevelType w:val="hybridMultilevel"/>
    <w:tmpl w:val="4E9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3533">
    <w:abstractNumId w:val="4"/>
  </w:num>
  <w:num w:numId="2" w16cid:durableId="678239089">
    <w:abstractNumId w:val="26"/>
  </w:num>
  <w:num w:numId="3" w16cid:durableId="1438717156">
    <w:abstractNumId w:val="39"/>
  </w:num>
  <w:num w:numId="4" w16cid:durableId="1868180147">
    <w:abstractNumId w:val="7"/>
  </w:num>
  <w:num w:numId="5" w16cid:durableId="369182558">
    <w:abstractNumId w:val="27"/>
  </w:num>
  <w:num w:numId="6" w16cid:durableId="1658340507">
    <w:abstractNumId w:val="41"/>
  </w:num>
  <w:num w:numId="7" w16cid:durableId="82456175">
    <w:abstractNumId w:val="6"/>
  </w:num>
  <w:num w:numId="8" w16cid:durableId="721052883">
    <w:abstractNumId w:val="42"/>
  </w:num>
  <w:num w:numId="9" w16cid:durableId="1973826406">
    <w:abstractNumId w:val="45"/>
  </w:num>
  <w:num w:numId="10" w16cid:durableId="324751190">
    <w:abstractNumId w:val="37"/>
  </w:num>
  <w:num w:numId="11" w16cid:durableId="1627152559">
    <w:abstractNumId w:val="13"/>
  </w:num>
  <w:num w:numId="12" w16cid:durableId="1816992245">
    <w:abstractNumId w:val="19"/>
  </w:num>
  <w:num w:numId="13" w16cid:durableId="1287007515">
    <w:abstractNumId w:val="35"/>
  </w:num>
  <w:num w:numId="14" w16cid:durableId="327172334">
    <w:abstractNumId w:val="30"/>
  </w:num>
  <w:num w:numId="15" w16cid:durableId="1819031117">
    <w:abstractNumId w:val="44"/>
  </w:num>
  <w:num w:numId="16" w16cid:durableId="305473446">
    <w:abstractNumId w:val="15"/>
  </w:num>
  <w:num w:numId="17" w16cid:durableId="1562253037">
    <w:abstractNumId w:val="2"/>
  </w:num>
  <w:num w:numId="18" w16cid:durableId="1517768527">
    <w:abstractNumId w:val="43"/>
  </w:num>
  <w:num w:numId="19" w16cid:durableId="462307813">
    <w:abstractNumId w:val="33"/>
  </w:num>
  <w:num w:numId="20" w16cid:durableId="818419039">
    <w:abstractNumId w:val="1"/>
  </w:num>
  <w:num w:numId="21" w16cid:durableId="2022732601">
    <w:abstractNumId w:val="3"/>
  </w:num>
  <w:num w:numId="22" w16cid:durableId="116875256">
    <w:abstractNumId w:val="36"/>
  </w:num>
  <w:num w:numId="23" w16cid:durableId="1514957657">
    <w:abstractNumId w:val="36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126898781">
    <w:abstractNumId w:val="36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403528696">
    <w:abstractNumId w:val="36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086267675">
    <w:abstractNumId w:val="36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737361337">
    <w:abstractNumId w:val="18"/>
  </w:num>
  <w:num w:numId="28" w16cid:durableId="1356808782">
    <w:abstractNumId w:val="11"/>
  </w:num>
  <w:num w:numId="29" w16cid:durableId="928192409">
    <w:abstractNumId w:val="32"/>
  </w:num>
  <w:num w:numId="30" w16cid:durableId="627901546">
    <w:abstractNumId w:val="20"/>
  </w:num>
  <w:num w:numId="31" w16cid:durableId="1396271242">
    <w:abstractNumId w:val="16"/>
  </w:num>
  <w:num w:numId="32" w16cid:durableId="1220021193">
    <w:abstractNumId w:val="5"/>
  </w:num>
  <w:num w:numId="33" w16cid:durableId="1143621788">
    <w:abstractNumId w:val="12"/>
  </w:num>
  <w:num w:numId="34" w16cid:durableId="696587405">
    <w:abstractNumId w:val="9"/>
  </w:num>
  <w:num w:numId="35" w16cid:durableId="647788531">
    <w:abstractNumId w:val="24"/>
  </w:num>
  <w:num w:numId="36" w16cid:durableId="1227110323">
    <w:abstractNumId w:val="10"/>
  </w:num>
  <w:num w:numId="37" w16cid:durableId="592470398">
    <w:abstractNumId w:val="17"/>
  </w:num>
  <w:num w:numId="38" w16cid:durableId="1085876898">
    <w:abstractNumId w:val="22"/>
  </w:num>
  <w:num w:numId="39" w16cid:durableId="2075621146">
    <w:abstractNumId w:val="23"/>
  </w:num>
  <w:num w:numId="40" w16cid:durableId="2097894411">
    <w:abstractNumId w:val="31"/>
  </w:num>
  <w:num w:numId="41" w16cid:durableId="1680811512">
    <w:abstractNumId w:val="21"/>
  </w:num>
  <w:num w:numId="42" w16cid:durableId="424544390">
    <w:abstractNumId w:val="8"/>
  </w:num>
  <w:num w:numId="43" w16cid:durableId="115221226">
    <w:abstractNumId w:val="14"/>
  </w:num>
  <w:num w:numId="44" w16cid:durableId="180826791">
    <w:abstractNumId w:val="34"/>
  </w:num>
  <w:num w:numId="45" w16cid:durableId="2100560836">
    <w:abstractNumId w:val="29"/>
  </w:num>
  <w:num w:numId="46" w16cid:durableId="335883293">
    <w:abstractNumId w:val="28"/>
  </w:num>
  <w:num w:numId="47" w16cid:durableId="120803357">
    <w:abstractNumId w:val="25"/>
  </w:num>
  <w:num w:numId="48" w16cid:durableId="1851602479">
    <w:abstractNumId w:val="40"/>
  </w:num>
  <w:num w:numId="49" w16cid:durableId="1670912310">
    <w:abstractNumId w:val="38"/>
  </w:num>
  <w:num w:numId="50" w16cid:durableId="118791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03B2"/>
    <w:rsid w:val="00021970"/>
    <w:rsid w:val="00031167"/>
    <w:rsid w:val="00031A72"/>
    <w:rsid w:val="00031FB8"/>
    <w:rsid w:val="00037422"/>
    <w:rsid w:val="00037CFB"/>
    <w:rsid w:val="00046D31"/>
    <w:rsid w:val="00065551"/>
    <w:rsid w:val="00065AE5"/>
    <w:rsid w:val="0007361C"/>
    <w:rsid w:val="00073997"/>
    <w:rsid w:val="0007733C"/>
    <w:rsid w:val="0008108C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12110"/>
    <w:rsid w:val="00123AB6"/>
    <w:rsid w:val="00124EA7"/>
    <w:rsid w:val="001251AD"/>
    <w:rsid w:val="0012795C"/>
    <w:rsid w:val="001320A7"/>
    <w:rsid w:val="001362E4"/>
    <w:rsid w:val="00145465"/>
    <w:rsid w:val="00153DCC"/>
    <w:rsid w:val="00157F39"/>
    <w:rsid w:val="00161D65"/>
    <w:rsid w:val="00174CF4"/>
    <w:rsid w:val="00175D9B"/>
    <w:rsid w:val="00176CFA"/>
    <w:rsid w:val="00197B74"/>
    <w:rsid w:val="001A135E"/>
    <w:rsid w:val="001A6CF3"/>
    <w:rsid w:val="001B52C2"/>
    <w:rsid w:val="001C4379"/>
    <w:rsid w:val="001C4D52"/>
    <w:rsid w:val="001D4980"/>
    <w:rsid w:val="001D4AD4"/>
    <w:rsid w:val="001D6453"/>
    <w:rsid w:val="001E1460"/>
    <w:rsid w:val="001E1893"/>
    <w:rsid w:val="001E6AFC"/>
    <w:rsid w:val="001E7386"/>
    <w:rsid w:val="001F69A1"/>
    <w:rsid w:val="00200B64"/>
    <w:rsid w:val="0020458B"/>
    <w:rsid w:val="002124A3"/>
    <w:rsid w:val="002140F8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0216"/>
    <w:rsid w:val="00271391"/>
    <w:rsid w:val="0027184A"/>
    <w:rsid w:val="002776CA"/>
    <w:rsid w:val="00277BC4"/>
    <w:rsid w:val="0028151D"/>
    <w:rsid w:val="0028574E"/>
    <w:rsid w:val="002869BC"/>
    <w:rsid w:val="00290E9D"/>
    <w:rsid w:val="00295033"/>
    <w:rsid w:val="002B26DF"/>
    <w:rsid w:val="002C0188"/>
    <w:rsid w:val="002C29FA"/>
    <w:rsid w:val="002C2D22"/>
    <w:rsid w:val="002C35C8"/>
    <w:rsid w:val="002C6F3E"/>
    <w:rsid w:val="002D466C"/>
    <w:rsid w:val="002E13D2"/>
    <w:rsid w:val="002E14AB"/>
    <w:rsid w:val="002E39F4"/>
    <w:rsid w:val="002F31EF"/>
    <w:rsid w:val="003028CB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31C6"/>
    <w:rsid w:val="0039653E"/>
    <w:rsid w:val="003A152E"/>
    <w:rsid w:val="003A37DE"/>
    <w:rsid w:val="003B15D7"/>
    <w:rsid w:val="003C44AB"/>
    <w:rsid w:val="003C53AA"/>
    <w:rsid w:val="003D5B61"/>
    <w:rsid w:val="003D64C7"/>
    <w:rsid w:val="003E2E95"/>
    <w:rsid w:val="003E3DA7"/>
    <w:rsid w:val="003F2A37"/>
    <w:rsid w:val="003F2AA2"/>
    <w:rsid w:val="0040197F"/>
    <w:rsid w:val="0041043A"/>
    <w:rsid w:val="00410FD3"/>
    <w:rsid w:val="004128EE"/>
    <w:rsid w:val="004176DE"/>
    <w:rsid w:val="00427EEE"/>
    <w:rsid w:val="004303F4"/>
    <w:rsid w:val="00440095"/>
    <w:rsid w:val="00442A72"/>
    <w:rsid w:val="004443B6"/>
    <w:rsid w:val="00456FC1"/>
    <w:rsid w:val="00466533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C084E"/>
    <w:rsid w:val="004C0BC4"/>
    <w:rsid w:val="004C18A9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5048F8"/>
    <w:rsid w:val="00506445"/>
    <w:rsid w:val="00514EC4"/>
    <w:rsid w:val="00515F37"/>
    <w:rsid w:val="00517673"/>
    <w:rsid w:val="00523332"/>
    <w:rsid w:val="00534AAE"/>
    <w:rsid w:val="00535F16"/>
    <w:rsid w:val="00536815"/>
    <w:rsid w:val="00544494"/>
    <w:rsid w:val="00546A56"/>
    <w:rsid w:val="005544A6"/>
    <w:rsid w:val="005559DD"/>
    <w:rsid w:val="00557282"/>
    <w:rsid w:val="00560BD4"/>
    <w:rsid w:val="00566BAB"/>
    <w:rsid w:val="005738A0"/>
    <w:rsid w:val="00584192"/>
    <w:rsid w:val="0058690D"/>
    <w:rsid w:val="005917C4"/>
    <w:rsid w:val="005940FD"/>
    <w:rsid w:val="005949BF"/>
    <w:rsid w:val="00595508"/>
    <w:rsid w:val="005A65E5"/>
    <w:rsid w:val="005B4C61"/>
    <w:rsid w:val="005B714B"/>
    <w:rsid w:val="005C4C83"/>
    <w:rsid w:val="005D4260"/>
    <w:rsid w:val="005D4BC0"/>
    <w:rsid w:val="005E2CAF"/>
    <w:rsid w:val="005E3AB3"/>
    <w:rsid w:val="005E5618"/>
    <w:rsid w:val="005F7B5A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4C1B"/>
    <w:rsid w:val="00636A90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A60FB"/>
    <w:rsid w:val="006B254B"/>
    <w:rsid w:val="006B429C"/>
    <w:rsid w:val="006C18C7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6F50C5"/>
    <w:rsid w:val="007010A8"/>
    <w:rsid w:val="00704562"/>
    <w:rsid w:val="00706B98"/>
    <w:rsid w:val="00706D9D"/>
    <w:rsid w:val="007100D6"/>
    <w:rsid w:val="00715DE5"/>
    <w:rsid w:val="00720498"/>
    <w:rsid w:val="0072049B"/>
    <w:rsid w:val="00731301"/>
    <w:rsid w:val="00732DD5"/>
    <w:rsid w:val="00734A99"/>
    <w:rsid w:val="007424DD"/>
    <w:rsid w:val="00750D9D"/>
    <w:rsid w:val="007607AB"/>
    <w:rsid w:val="007623A6"/>
    <w:rsid w:val="0077141D"/>
    <w:rsid w:val="00773E94"/>
    <w:rsid w:val="007822FC"/>
    <w:rsid w:val="007840FE"/>
    <w:rsid w:val="00785D51"/>
    <w:rsid w:val="00787E24"/>
    <w:rsid w:val="00792F2E"/>
    <w:rsid w:val="00796837"/>
    <w:rsid w:val="007A7FF1"/>
    <w:rsid w:val="007B111E"/>
    <w:rsid w:val="007B7265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3519A"/>
    <w:rsid w:val="00835DD3"/>
    <w:rsid w:val="0084482B"/>
    <w:rsid w:val="008537D0"/>
    <w:rsid w:val="00853B49"/>
    <w:rsid w:val="00861FE7"/>
    <w:rsid w:val="00865644"/>
    <w:rsid w:val="00870EB2"/>
    <w:rsid w:val="008736A7"/>
    <w:rsid w:val="00873CD6"/>
    <w:rsid w:val="00881603"/>
    <w:rsid w:val="008820A8"/>
    <w:rsid w:val="008829A3"/>
    <w:rsid w:val="00884B54"/>
    <w:rsid w:val="00884F4E"/>
    <w:rsid w:val="00890040"/>
    <w:rsid w:val="008934AD"/>
    <w:rsid w:val="008A40D9"/>
    <w:rsid w:val="008A68A5"/>
    <w:rsid w:val="008B466B"/>
    <w:rsid w:val="008B4CB7"/>
    <w:rsid w:val="008B5B32"/>
    <w:rsid w:val="008C4CCA"/>
    <w:rsid w:val="008C4EB3"/>
    <w:rsid w:val="008C6EDA"/>
    <w:rsid w:val="008D0458"/>
    <w:rsid w:val="008D04AA"/>
    <w:rsid w:val="008D104C"/>
    <w:rsid w:val="008D3981"/>
    <w:rsid w:val="008D493C"/>
    <w:rsid w:val="008E1DBB"/>
    <w:rsid w:val="008E2B0E"/>
    <w:rsid w:val="008E5F3A"/>
    <w:rsid w:val="008F095E"/>
    <w:rsid w:val="008F3DF1"/>
    <w:rsid w:val="009152A7"/>
    <w:rsid w:val="00916A14"/>
    <w:rsid w:val="00917639"/>
    <w:rsid w:val="00934316"/>
    <w:rsid w:val="00943411"/>
    <w:rsid w:val="0094387D"/>
    <w:rsid w:val="00944D33"/>
    <w:rsid w:val="00945EAE"/>
    <w:rsid w:val="00955ADC"/>
    <w:rsid w:val="00956661"/>
    <w:rsid w:val="0096138D"/>
    <w:rsid w:val="00972B16"/>
    <w:rsid w:val="00974863"/>
    <w:rsid w:val="00974F56"/>
    <w:rsid w:val="009773A3"/>
    <w:rsid w:val="00982138"/>
    <w:rsid w:val="00983555"/>
    <w:rsid w:val="00996C68"/>
    <w:rsid w:val="009A0867"/>
    <w:rsid w:val="009A5953"/>
    <w:rsid w:val="009A72EE"/>
    <w:rsid w:val="009B13B5"/>
    <w:rsid w:val="009B690D"/>
    <w:rsid w:val="009B7D3A"/>
    <w:rsid w:val="009C061F"/>
    <w:rsid w:val="009D04F9"/>
    <w:rsid w:val="009D5681"/>
    <w:rsid w:val="009E2F66"/>
    <w:rsid w:val="009E381A"/>
    <w:rsid w:val="009F08DB"/>
    <w:rsid w:val="00A00254"/>
    <w:rsid w:val="00A008BC"/>
    <w:rsid w:val="00A017B0"/>
    <w:rsid w:val="00A047B5"/>
    <w:rsid w:val="00A05D98"/>
    <w:rsid w:val="00A111EC"/>
    <w:rsid w:val="00A43DB5"/>
    <w:rsid w:val="00A47CD5"/>
    <w:rsid w:val="00A636A4"/>
    <w:rsid w:val="00A736C0"/>
    <w:rsid w:val="00A9139D"/>
    <w:rsid w:val="00AA1DF1"/>
    <w:rsid w:val="00AB0796"/>
    <w:rsid w:val="00AB0C3E"/>
    <w:rsid w:val="00AB6D4A"/>
    <w:rsid w:val="00AC3EA4"/>
    <w:rsid w:val="00AD2099"/>
    <w:rsid w:val="00AD2691"/>
    <w:rsid w:val="00AD6073"/>
    <w:rsid w:val="00AD670F"/>
    <w:rsid w:val="00AD7F09"/>
    <w:rsid w:val="00AF2E3C"/>
    <w:rsid w:val="00AF658B"/>
    <w:rsid w:val="00B02D46"/>
    <w:rsid w:val="00B043BB"/>
    <w:rsid w:val="00B17146"/>
    <w:rsid w:val="00B25709"/>
    <w:rsid w:val="00B31645"/>
    <w:rsid w:val="00B369EA"/>
    <w:rsid w:val="00B36EBA"/>
    <w:rsid w:val="00B37C9A"/>
    <w:rsid w:val="00B419B2"/>
    <w:rsid w:val="00B53211"/>
    <w:rsid w:val="00B55A0E"/>
    <w:rsid w:val="00B66FFB"/>
    <w:rsid w:val="00B67ACB"/>
    <w:rsid w:val="00B75097"/>
    <w:rsid w:val="00B91997"/>
    <w:rsid w:val="00B94A35"/>
    <w:rsid w:val="00BB0624"/>
    <w:rsid w:val="00BB43D7"/>
    <w:rsid w:val="00BB4D40"/>
    <w:rsid w:val="00BB53A8"/>
    <w:rsid w:val="00BB6F52"/>
    <w:rsid w:val="00BC1B53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6422"/>
    <w:rsid w:val="00C06E00"/>
    <w:rsid w:val="00C13630"/>
    <w:rsid w:val="00C14960"/>
    <w:rsid w:val="00C151E2"/>
    <w:rsid w:val="00C21612"/>
    <w:rsid w:val="00C27EC4"/>
    <w:rsid w:val="00C301D8"/>
    <w:rsid w:val="00C35807"/>
    <w:rsid w:val="00C369E1"/>
    <w:rsid w:val="00C62488"/>
    <w:rsid w:val="00C628DF"/>
    <w:rsid w:val="00C63AAE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C683B"/>
    <w:rsid w:val="00CD0715"/>
    <w:rsid w:val="00CD1536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2E30"/>
    <w:rsid w:val="00D5657E"/>
    <w:rsid w:val="00D67434"/>
    <w:rsid w:val="00D72EF5"/>
    <w:rsid w:val="00D750EC"/>
    <w:rsid w:val="00D77D64"/>
    <w:rsid w:val="00D81B16"/>
    <w:rsid w:val="00D8350B"/>
    <w:rsid w:val="00D83D31"/>
    <w:rsid w:val="00D9362A"/>
    <w:rsid w:val="00D96164"/>
    <w:rsid w:val="00D96D6D"/>
    <w:rsid w:val="00DB39DE"/>
    <w:rsid w:val="00DB3D9B"/>
    <w:rsid w:val="00DB76F4"/>
    <w:rsid w:val="00DC1D51"/>
    <w:rsid w:val="00DC40A1"/>
    <w:rsid w:val="00DC489D"/>
    <w:rsid w:val="00DC5B08"/>
    <w:rsid w:val="00DD2131"/>
    <w:rsid w:val="00DD26C0"/>
    <w:rsid w:val="00DD59B5"/>
    <w:rsid w:val="00DD61FD"/>
    <w:rsid w:val="00DD7F86"/>
    <w:rsid w:val="00DE0CEC"/>
    <w:rsid w:val="00DE1611"/>
    <w:rsid w:val="00DE17D2"/>
    <w:rsid w:val="00DF0089"/>
    <w:rsid w:val="00DF5022"/>
    <w:rsid w:val="00E16883"/>
    <w:rsid w:val="00E247F6"/>
    <w:rsid w:val="00E419A6"/>
    <w:rsid w:val="00E43017"/>
    <w:rsid w:val="00E46737"/>
    <w:rsid w:val="00E533A5"/>
    <w:rsid w:val="00E61B6A"/>
    <w:rsid w:val="00E75341"/>
    <w:rsid w:val="00E775A9"/>
    <w:rsid w:val="00E919C3"/>
    <w:rsid w:val="00E9354B"/>
    <w:rsid w:val="00EA49CE"/>
    <w:rsid w:val="00EB148E"/>
    <w:rsid w:val="00EB44E6"/>
    <w:rsid w:val="00EB5356"/>
    <w:rsid w:val="00ED4497"/>
    <w:rsid w:val="00EE1A38"/>
    <w:rsid w:val="00F00C33"/>
    <w:rsid w:val="00F055CC"/>
    <w:rsid w:val="00F128AE"/>
    <w:rsid w:val="00F1534C"/>
    <w:rsid w:val="00F16688"/>
    <w:rsid w:val="00F20781"/>
    <w:rsid w:val="00F272C4"/>
    <w:rsid w:val="00F317F8"/>
    <w:rsid w:val="00F3526D"/>
    <w:rsid w:val="00F3608C"/>
    <w:rsid w:val="00F366FE"/>
    <w:rsid w:val="00F5112D"/>
    <w:rsid w:val="00F555F9"/>
    <w:rsid w:val="00F62BAC"/>
    <w:rsid w:val="00F66207"/>
    <w:rsid w:val="00F664E4"/>
    <w:rsid w:val="00F67A85"/>
    <w:rsid w:val="00F74D94"/>
    <w:rsid w:val="00F81AF8"/>
    <w:rsid w:val="00F870A5"/>
    <w:rsid w:val="00F91848"/>
    <w:rsid w:val="00F946E3"/>
    <w:rsid w:val="00FA07DD"/>
    <w:rsid w:val="00FA1759"/>
    <w:rsid w:val="00FB35A9"/>
    <w:rsid w:val="00FB35C0"/>
    <w:rsid w:val="00FB65CC"/>
    <w:rsid w:val="00FB7A31"/>
    <w:rsid w:val="00FE1261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4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DD709-43A9-4F97-9CC2-A8A52C49E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1BDE0-62B6-4B7C-B752-D40EB3F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14</cp:revision>
  <cp:lastPrinted>2022-03-14T15:11:00Z</cp:lastPrinted>
  <dcterms:created xsi:type="dcterms:W3CDTF">2022-04-12T17:12:00Z</dcterms:created>
  <dcterms:modified xsi:type="dcterms:W3CDTF">2023-02-09T14:57:00Z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</Properties>
</file>