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D4" w:rsidRPr="00F4011A" w:rsidRDefault="005B281B" w:rsidP="004741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11A">
        <w:rPr>
          <w:rFonts w:ascii="Times New Roman" w:hAnsi="Times New Roman" w:cs="Times New Roman"/>
          <w:b/>
          <w:sz w:val="28"/>
          <w:szCs w:val="28"/>
        </w:rPr>
        <w:t>Uniform Grant Guidance</w:t>
      </w:r>
      <w:r w:rsidR="00BD3026" w:rsidRPr="00F4011A">
        <w:rPr>
          <w:rFonts w:ascii="Times New Roman" w:hAnsi="Times New Roman" w:cs="Times New Roman"/>
          <w:b/>
          <w:sz w:val="28"/>
          <w:szCs w:val="28"/>
        </w:rPr>
        <w:t xml:space="preserve"> (UGG) </w:t>
      </w:r>
      <w:r w:rsidRPr="00F4011A">
        <w:rPr>
          <w:rFonts w:ascii="Times New Roman" w:hAnsi="Times New Roman" w:cs="Times New Roman"/>
          <w:b/>
          <w:sz w:val="28"/>
          <w:szCs w:val="28"/>
        </w:rPr>
        <w:t>- Section 200.303 Internal Controls</w:t>
      </w:r>
    </w:p>
    <w:p w:rsidR="005700D4" w:rsidRPr="00B50B40" w:rsidRDefault="005700D4" w:rsidP="004741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0B40">
        <w:rPr>
          <w:rFonts w:ascii="Times New Roman" w:hAnsi="Times New Roman" w:cs="Times New Roman"/>
          <w:b/>
          <w:sz w:val="28"/>
          <w:szCs w:val="28"/>
        </w:rPr>
        <w:t xml:space="preserve">The non-Federal entity must: </w:t>
      </w:r>
    </w:p>
    <w:tbl>
      <w:tblPr>
        <w:tblStyle w:val="TableGrid"/>
        <w:tblW w:w="15030" w:type="dxa"/>
        <w:tblInd w:w="-252" w:type="dxa"/>
        <w:tblLook w:val="04A0" w:firstRow="1" w:lastRow="0" w:firstColumn="1" w:lastColumn="0" w:noHBand="0" w:noVBand="1"/>
      </w:tblPr>
      <w:tblGrid>
        <w:gridCol w:w="3757"/>
        <w:gridCol w:w="3758"/>
        <w:gridCol w:w="3757"/>
        <w:gridCol w:w="3758"/>
      </w:tblGrid>
      <w:tr w:rsidR="005700D4" w:rsidTr="00C1769C">
        <w:tc>
          <w:tcPr>
            <w:tcW w:w="3757" w:type="dxa"/>
          </w:tcPr>
          <w:p w:rsidR="005700D4" w:rsidRPr="00B50B40" w:rsidRDefault="005700D4" w:rsidP="00570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40">
              <w:rPr>
                <w:rFonts w:ascii="Times New Roman" w:hAnsi="Times New Roman" w:cs="Times New Roman"/>
                <w:b/>
                <w:sz w:val="24"/>
                <w:szCs w:val="24"/>
              </w:rPr>
              <w:t>Establish and maintain effective internal controls</w:t>
            </w:r>
          </w:p>
        </w:tc>
        <w:tc>
          <w:tcPr>
            <w:tcW w:w="3758" w:type="dxa"/>
          </w:tcPr>
          <w:p w:rsidR="005700D4" w:rsidRPr="00B50B40" w:rsidRDefault="005700D4" w:rsidP="00570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40">
              <w:rPr>
                <w:rFonts w:ascii="Times New Roman" w:hAnsi="Times New Roman" w:cs="Times New Roman"/>
                <w:b/>
                <w:sz w:val="24"/>
                <w:szCs w:val="24"/>
              </w:rPr>
              <w:t>Evaluate and Monitor compliance</w:t>
            </w:r>
          </w:p>
        </w:tc>
        <w:tc>
          <w:tcPr>
            <w:tcW w:w="3757" w:type="dxa"/>
          </w:tcPr>
          <w:p w:rsidR="005700D4" w:rsidRPr="00B50B40" w:rsidRDefault="005700D4" w:rsidP="00570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40">
              <w:rPr>
                <w:rFonts w:ascii="Times New Roman" w:hAnsi="Times New Roman" w:cs="Times New Roman"/>
                <w:b/>
                <w:sz w:val="24"/>
                <w:szCs w:val="24"/>
              </w:rPr>
              <w:t>Take prompt action on audit findings</w:t>
            </w:r>
          </w:p>
        </w:tc>
        <w:tc>
          <w:tcPr>
            <w:tcW w:w="3758" w:type="dxa"/>
          </w:tcPr>
          <w:p w:rsidR="005700D4" w:rsidRPr="00B50B40" w:rsidRDefault="005700D4" w:rsidP="00570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40">
              <w:rPr>
                <w:rFonts w:ascii="Times New Roman" w:hAnsi="Times New Roman" w:cs="Times New Roman"/>
                <w:b/>
                <w:sz w:val="24"/>
                <w:szCs w:val="24"/>
              </w:rPr>
              <w:t>Safeguard protected personally identifiable information</w:t>
            </w:r>
            <w:r w:rsidR="00E00A4B" w:rsidRPr="00B50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(PII)</w:t>
            </w:r>
          </w:p>
        </w:tc>
      </w:tr>
      <w:tr w:rsidR="005700D4" w:rsidTr="00C1769C">
        <w:trPr>
          <w:trHeight w:val="8882"/>
        </w:trPr>
        <w:tc>
          <w:tcPr>
            <w:tcW w:w="3757" w:type="dxa"/>
          </w:tcPr>
          <w:p w:rsidR="00BD3026" w:rsidRPr="0047416A" w:rsidRDefault="00BD3026" w:rsidP="00571A1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 xml:space="preserve">Establish and maintain effective internal control over the Federal award that provides reasonable assurance that the non-Federal entity is managing the Federal award in compliance with Federal statutes, regulations, and the terms and conditions of the Federal award. </w:t>
            </w:r>
          </w:p>
          <w:p w:rsidR="00BD3026" w:rsidRPr="0047416A" w:rsidRDefault="00BD3026" w:rsidP="00571A1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700D4" w:rsidRPr="0047416A" w:rsidRDefault="005700D4" w:rsidP="00571A1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>Internal controls should be in compliance with guidance in Standards for Internal Control in the Federal Government (Green Book) and the Internal Control Integrated Framework issued by COSO.</w:t>
            </w:r>
          </w:p>
          <w:p w:rsidR="005700D4" w:rsidRPr="0047416A" w:rsidRDefault="005700D4" w:rsidP="00571A1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700D4" w:rsidRPr="0047416A" w:rsidRDefault="00BD3026" w:rsidP="00571A1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>The UGG defines internal controls as a process implemented by a non-Federal entity, designed to provide reasonable assurance regarding the achievement of objectives in the following categories:</w:t>
            </w:r>
          </w:p>
          <w:p w:rsidR="00BD3026" w:rsidRPr="0047416A" w:rsidRDefault="00BD3026" w:rsidP="00571A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 xml:space="preserve">Effectiveness and efficiency of operations. </w:t>
            </w:r>
          </w:p>
          <w:p w:rsidR="00BD3026" w:rsidRPr="0047416A" w:rsidRDefault="00BD3026" w:rsidP="00571A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>Reliability and reporting for internal and external use.</w:t>
            </w:r>
          </w:p>
          <w:p w:rsidR="00BD3026" w:rsidRPr="0047416A" w:rsidRDefault="00BD3026" w:rsidP="00571A1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 xml:space="preserve">Compliance with applicable laws and regulations. </w:t>
            </w:r>
          </w:p>
          <w:p w:rsidR="005700D4" w:rsidRPr="0047416A" w:rsidRDefault="005700D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58" w:type="dxa"/>
          </w:tcPr>
          <w:p w:rsidR="005700D4" w:rsidRPr="0047416A" w:rsidRDefault="00DE72F7" w:rsidP="00DE72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>Evaluate and monitor the non-Federal entity’s compliance with statute</w:t>
            </w:r>
            <w:r w:rsidR="00BD3026" w:rsidRPr="0047416A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 xml:space="preserve">, regulations and the terms and conditions of the Federal award. </w:t>
            </w:r>
          </w:p>
          <w:p w:rsidR="00BD3026" w:rsidRPr="0047416A" w:rsidRDefault="00BD3026" w:rsidP="00DE72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D3026" w:rsidRPr="0047416A" w:rsidRDefault="001465E9" w:rsidP="00DE72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 xml:space="preserve">Internal control over compliance requirements </w:t>
            </w:r>
            <w:r w:rsidR="00F4011A" w:rsidRPr="0047416A">
              <w:rPr>
                <w:rFonts w:ascii="Times New Roman" w:hAnsi="Times New Roman" w:cs="Times New Roman"/>
                <w:sz w:val="21"/>
                <w:szCs w:val="21"/>
              </w:rPr>
              <w:t>means a process implemented by a non-Federal entity designed to provide reasonable assurance regarding the achievement of the following objectives for Federal awards:</w:t>
            </w:r>
          </w:p>
          <w:p w:rsidR="00F4011A" w:rsidRPr="0047416A" w:rsidRDefault="00F4011A" w:rsidP="00DE72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4011A" w:rsidRPr="0047416A" w:rsidRDefault="00F4011A" w:rsidP="00DE72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>Transactions are properly recorded and accounted for in order to:</w:t>
            </w:r>
          </w:p>
          <w:p w:rsidR="00F4011A" w:rsidRPr="0047416A" w:rsidRDefault="00F4011A" w:rsidP="00F401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>Permit the preparation of reliable financial statements and Federal reports</w:t>
            </w:r>
          </w:p>
          <w:p w:rsidR="00F4011A" w:rsidRPr="0047416A" w:rsidRDefault="00F4011A" w:rsidP="00F401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>Maintain accountability o</w:t>
            </w:r>
            <w:bookmarkStart w:id="0" w:name="_GoBack"/>
            <w:bookmarkEnd w:id="0"/>
            <w:r w:rsidRPr="0047416A">
              <w:rPr>
                <w:rFonts w:ascii="Times New Roman" w:hAnsi="Times New Roman" w:cs="Times New Roman"/>
                <w:sz w:val="21"/>
                <w:szCs w:val="21"/>
              </w:rPr>
              <w:t>ver assets</w:t>
            </w:r>
          </w:p>
          <w:p w:rsidR="00F4011A" w:rsidRPr="0047416A" w:rsidRDefault="00F4011A" w:rsidP="00F401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 xml:space="preserve">Demonstrate compliance with Federal statutes, regulations, and the terms and conditions of the Federal award </w:t>
            </w:r>
          </w:p>
          <w:p w:rsidR="00F4011A" w:rsidRPr="0047416A" w:rsidRDefault="00F4011A" w:rsidP="00F401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>Transactions are executed in compliance with:</w:t>
            </w:r>
          </w:p>
          <w:p w:rsidR="00F4011A" w:rsidRPr="0047416A" w:rsidRDefault="00F4011A" w:rsidP="00571A1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>Federal statutes, regulations, and the terms and conditions of the Federal award that could have a direct and material effect on a Federal program.</w:t>
            </w:r>
          </w:p>
          <w:p w:rsidR="00F4011A" w:rsidRPr="0047416A" w:rsidRDefault="00F4011A" w:rsidP="00571A1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>Any other Federal statutes and regulations that are identified in the Compliance Supplement</w:t>
            </w:r>
          </w:p>
          <w:p w:rsidR="00F4011A" w:rsidRPr="0047416A" w:rsidRDefault="00F4011A" w:rsidP="00571A1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 xml:space="preserve">Funds, property, and other assets are safeguarded against loss from unauthorized </w:t>
            </w:r>
            <w:r w:rsidR="00571A1C" w:rsidRPr="0047416A">
              <w:rPr>
                <w:rFonts w:ascii="Times New Roman" w:hAnsi="Times New Roman" w:cs="Times New Roman"/>
                <w:sz w:val="21"/>
                <w:szCs w:val="21"/>
              </w:rPr>
              <w:t xml:space="preserve">use or disposition. </w:t>
            </w:r>
          </w:p>
        </w:tc>
        <w:tc>
          <w:tcPr>
            <w:tcW w:w="3757" w:type="dxa"/>
          </w:tcPr>
          <w:p w:rsidR="005700D4" w:rsidRPr="0047416A" w:rsidRDefault="00DE72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 xml:space="preserve">Take prompt action when instances of non-compliance are identified including non-compliance identified in audit findings. </w:t>
            </w:r>
          </w:p>
          <w:p w:rsidR="00232CBE" w:rsidRPr="0047416A" w:rsidRDefault="00232CB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416A" w:rsidRPr="0047416A" w:rsidRDefault="004741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 xml:space="preserve">Audit finding means deficiencies which the auditor is required by 200.516 Audit findings, paragraph (a) to report in the schedule of findings and questioned costs. </w:t>
            </w:r>
          </w:p>
          <w:p w:rsidR="0047416A" w:rsidRPr="0047416A" w:rsidRDefault="0047416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32CBE" w:rsidRPr="0047416A" w:rsidRDefault="000261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 xml:space="preserve">Audit findings </w:t>
            </w:r>
            <w:r w:rsidR="00C7615C">
              <w:rPr>
                <w:rFonts w:ascii="Times New Roman" w:hAnsi="Times New Roman" w:cs="Times New Roman"/>
                <w:sz w:val="21"/>
                <w:szCs w:val="21"/>
              </w:rPr>
              <w:t xml:space="preserve">required to be reported by the auditor </w:t>
            </w: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>include:</w:t>
            </w:r>
          </w:p>
          <w:p w:rsidR="0047416A" w:rsidRPr="0047416A" w:rsidRDefault="0002612B" w:rsidP="0047416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 xml:space="preserve">Significant deficiencies and material weaknesses in internal control </w:t>
            </w:r>
            <w:r w:rsidR="00C7615C">
              <w:rPr>
                <w:rFonts w:ascii="Times New Roman" w:hAnsi="Times New Roman" w:cs="Times New Roman"/>
                <w:sz w:val="21"/>
                <w:szCs w:val="21"/>
              </w:rPr>
              <w:t xml:space="preserve">over major programs and significant instances of abuse relating to major programs. </w:t>
            </w:r>
          </w:p>
          <w:p w:rsidR="0047416A" w:rsidRPr="0047416A" w:rsidRDefault="00C7615C" w:rsidP="0047416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Material n</w:t>
            </w:r>
            <w:r w:rsidR="0047416A" w:rsidRPr="0047416A">
              <w:rPr>
                <w:rFonts w:ascii="Times New Roman" w:hAnsi="Times New Roman" w:cs="Times New Roman"/>
                <w:sz w:val="21"/>
                <w:szCs w:val="21"/>
              </w:rPr>
              <w:t>on-compliance with Federal statutes, regulations, or the terms 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nd conditions of Federal awards related to a major program.</w:t>
            </w:r>
          </w:p>
          <w:p w:rsidR="0047416A" w:rsidRPr="0047416A" w:rsidRDefault="00C7615C" w:rsidP="0047416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Known q</w:t>
            </w:r>
            <w:r w:rsidR="0047416A" w:rsidRPr="0047416A">
              <w:rPr>
                <w:rFonts w:ascii="Times New Roman" w:hAnsi="Times New Roman" w:cs="Times New Roman"/>
                <w:sz w:val="21"/>
                <w:szCs w:val="21"/>
              </w:rPr>
              <w:t xml:space="preserve">uestioned costs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that are greater than $25,000 for a type of compliance requirement for a major program. </w:t>
            </w:r>
          </w:p>
        </w:tc>
        <w:tc>
          <w:tcPr>
            <w:tcW w:w="3758" w:type="dxa"/>
          </w:tcPr>
          <w:p w:rsidR="005700D4" w:rsidRPr="0047416A" w:rsidRDefault="00DE72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>Take reasonable measures to safeguard protected personally identifiable information</w:t>
            </w:r>
            <w:r w:rsidR="00E00A4B" w:rsidRPr="0047416A">
              <w:rPr>
                <w:rFonts w:ascii="Times New Roman" w:hAnsi="Times New Roman" w:cs="Times New Roman"/>
                <w:sz w:val="21"/>
                <w:szCs w:val="21"/>
              </w:rPr>
              <w:t xml:space="preserve"> (PII)</w:t>
            </w: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 xml:space="preserve"> and other information the Federal awarding agency or pass-through entity designates as sensitive consistent with applicable Federal, state and local laws regarding privacy and obligations of confidentiality. </w:t>
            </w:r>
          </w:p>
          <w:p w:rsidR="00E00A4B" w:rsidRPr="0047416A" w:rsidRDefault="00E00A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F52B6" w:rsidRPr="0047416A" w:rsidRDefault="00E00A4B" w:rsidP="00E00A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 xml:space="preserve">The </w:t>
            </w:r>
            <w:r w:rsidR="00BD3026" w:rsidRPr="0047416A">
              <w:rPr>
                <w:rFonts w:ascii="Times New Roman" w:hAnsi="Times New Roman" w:cs="Times New Roman"/>
                <w:sz w:val="21"/>
                <w:szCs w:val="21"/>
              </w:rPr>
              <w:t>UGG</w:t>
            </w: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 xml:space="preserve"> defines PII as information that can be used to distinguish or trace an individual’s ident</w:t>
            </w:r>
            <w:r w:rsidR="00C7615C">
              <w:rPr>
                <w:rFonts w:ascii="Times New Roman" w:hAnsi="Times New Roman" w:cs="Times New Roman"/>
                <w:sz w:val="21"/>
                <w:szCs w:val="21"/>
              </w:rPr>
              <w:t xml:space="preserve">ity, either alone or combined with other personal or identifying information that is linked or linkable to a specific individual. </w:t>
            </w: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F52B6" w:rsidRPr="0047416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F52B6" w:rsidRPr="0047416A" w:rsidRDefault="002F52B6" w:rsidP="00E00A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615C" w:rsidRPr="0047416A" w:rsidRDefault="002F52B6" w:rsidP="00E00A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>For example</w:t>
            </w:r>
            <w:r w:rsidR="00E00A4B" w:rsidRPr="0047416A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</w:p>
          <w:p w:rsidR="00E00A4B" w:rsidRPr="0047416A" w:rsidRDefault="00E00A4B" w:rsidP="00E00A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>First name or first initial and last name in combination with:</w:t>
            </w:r>
          </w:p>
          <w:p w:rsidR="00E00A4B" w:rsidRPr="0047416A" w:rsidRDefault="00E00A4B" w:rsidP="00E00A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>Social security number</w:t>
            </w:r>
          </w:p>
          <w:p w:rsidR="00E00A4B" w:rsidRPr="0047416A" w:rsidRDefault="00E00A4B" w:rsidP="00E00A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>Passport number</w:t>
            </w:r>
          </w:p>
          <w:p w:rsidR="00E00A4B" w:rsidRPr="0047416A" w:rsidRDefault="00E00A4B" w:rsidP="00E00A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>Credit card number</w:t>
            </w:r>
          </w:p>
          <w:p w:rsidR="00E00A4B" w:rsidRPr="0047416A" w:rsidRDefault="00E00A4B" w:rsidP="00E00A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>Clearances</w:t>
            </w:r>
          </w:p>
          <w:p w:rsidR="00E00A4B" w:rsidRPr="0047416A" w:rsidRDefault="00E00A4B" w:rsidP="00E00A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47416A">
              <w:rPr>
                <w:rFonts w:ascii="Times New Roman" w:hAnsi="Times New Roman" w:cs="Times New Roman"/>
                <w:sz w:val="21"/>
                <w:szCs w:val="21"/>
              </w:rPr>
              <w:t xml:space="preserve">Bank numbers </w:t>
            </w:r>
          </w:p>
        </w:tc>
      </w:tr>
    </w:tbl>
    <w:p w:rsidR="005B281B" w:rsidRPr="005700D4" w:rsidRDefault="005B281B" w:rsidP="00B50B40">
      <w:pPr>
        <w:rPr>
          <w:sz w:val="32"/>
          <w:szCs w:val="32"/>
        </w:rPr>
      </w:pPr>
    </w:p>
    <w:sectPr w:rsidR="005B281B" w:rsidRPr="005700D4" w:rsidSect="00BD30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84C"/>
    <w:multiLevelType w:val="hybridMultilevel"/>
    <w:tmpl w:val="FDE2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E4C7B"/>
    <w:multiLevelType w:val="hybridMultilevel"/>
    <w:tmpl w:val="C5C0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10B6"/>
    <w:multiLevelType w:val="hybridMultilevel"/>
    <w:tmpl w:val="89E8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439F9"/>
    <w:multiLevelType w:val="hybridMultilevel"/>
    <w:tmpl w:val="9612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72951"/>
    <w:multiLevelType w:val="hybridMultilevel"/>
    <w:tmpl w:val="86B8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87704"/>
    <w:multiLevelType w:val="hybridMultilevel"/>
    <w:tmpl w:val="39C4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758E"/>
    <w:multiLevelType w:val="hybridMultilevel"/>
    <w:tmpl w:val="2342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31688"/>
    <w:multiLevelType w:val="hybridMultilevel"/>
    <w:tmpl w:val="1A18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E4"/>
    <w:rsid w:val="0002612B"/>
    <w:rsid w:val="000C0AF1"/>
    <w:rsid w:val="001465E9"/>
    <w:rsid w:val="00160851"/>
    <w:rsid w:val="001A3983"/>
    <w:rsid w:val="001A3FC6"/>
    <w:rsid w:val="00232CBE"/>
    <w:rsid w:val="002F52B6"/>
    <w:rsid w:val="00351CB9"/>
    <w:rsid w:val="0047416A"/>
    <w:rsid w:val="005700D4"/>
    <w:rsid w:val="00571A1C"/>
    <w:rsid w:val="005B281B"/>
    <w:rsid w:val="007F035F"/>
    <w:rsid w:val="00B50B40"/>
    <w:rsid w:val="00BA32E4"/>
    <w:rsid w:val="00BD3026"/>
    <w:rsid w:val="00BE4101"/>
    <w:rsid w:val="00C1769C"/>
    <w:rsid w:val="00C7615C"/>
    <w:rsid w:val="00DC6466"/>
    <w:rsid w:val="00DE72F7"/>
    <w:rsid w:val="00E00A4B"/>
    <w:rsid w:val="00F4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B"/>
    <w:pPr>
      <w:ind w:left="720"/>
      <w:contextualSpacing/>
    </w:pPr>
  </w:style>
  <w:style w:type="table" w:styleId="TableGrid">
    <w:name w:val="Table Grid"/>
    <w:basedOn w:val="TableNormal"/>
    <w:uiPriority w:val="59"/>
    <w:rsid w:val="0057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B"/>
    <w:pPr>
      <w:ind w:left="720"/>
      <w:contextualSpacing/>
    </w:pPr>
  </w:style>
  <w:style w:type="table" w:styleId="TableGrid">
    <w:name w:val="Table Grid"/>
    <w:basedOn w:val="TableNormal"/>
    <w:uiPriority w:val="59"/>
    <w:rsid w:val="0057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E. Martin</dc:creator>
  <cp:lastModifiedBy>Jill E. Martin</cp:lastModifiedBy>
  <cp:revision>14</cp:revision>
  <cp:lastPrinted>2015-12-04T14:24:00Z</cp:lastPrinted>
  <dcterms:created xsi:type="dcterms:W3CDTF">2015-11-30T15:27:00Z</dcterms:created>
  <dcterms:modified xsi:type="dcterms:W3CDTF">2015-12-04T14:39:00Z</dcterms:modified>
</cp:coreProperties>
</file>