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7E" w:rsidRPr="00621D7E" w:rsidRDefault="00621D7E" w:rsidP="00771C46">
      <w:pPr>
        <w:jc w:val="both"/>
        <w:rPr>
          <w:rFonts w:ascii="Times New Roman" w:hAnsi="Times New Roman" w:cs="Times New Roman"/>
          <w:b/>
        </w:rPr>
      </w:pPr>
      <w:r w:rsidRPr="00621D7E">
        <w:rPr>
          <w:rFonts w:ascii="Times New Roman" w:hAnsi="Times New Roman" w:cs="Times New Roman"/>
          <w:b/>
        </w:rPr>
        <w:t>Agency Uniform Guidance Roundtable Discussion-Minutes</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Date/Time:</w:t>
      </w:r>
      <w:r w:rsidR="00D31FB0">
        <w:rPr>
          <w:rFonts w:ascii="Times New Roman" w:hAnsi="Times New Roman" w:cs="Times New Roman"/>
        </w:rPr>
        <w:t xml:space="preserve"> July</w:t>
      </w:r>
      <w:r w:rsidRPr="00621D7E">
        <w:rPr>
          <w:rFonts w:ascii="Times New Roman" w:hAnsi="Times New Roman" w:cs="Times New Roman"/>
        </w:rPr>
        <w:t xml:space="preserve"> 20, 2016- 9:00 am</w:t>
      </w:r>
      <w:r w:rsidR="00F3117E">
        <w:rPr>
          <w:rFonts w:ascii="Times New Roman" w:hAnsi="Times New Roman" w:cs="Times New Roman"/>
        </w:rPr>
        <w:t>-10:15 am</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Location:</w:t>
      </w:r>
      <w:r w:rsidRPr="00621D7E">
        <w:rPr>
          <w:rFonts w:ascii="Times New Roman" w:hAnsi="Times New Roman" w:cs="Times New Roman"/>
        </w:rPr>
        <w:t xml:space="preserve"> Kansas State Board of Healing Arts</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Topic:</w:t>
      </w:r>
      <w:r w:rsidRPr="00621D7E">
        <w:rPr>
          <w:rFonts w:ascii="Times New Roman" w:hAnsi="Times New Roman" w:cs="Times New Roman"/>
        </w:rPr>
        <w:t xml:space="preserve"> </w:t>
      </w:r>
      <w:r w:rsidR="00D31FB0">
        <w:rPr>
          <w:rFonts w:ascii="Times New Roman" w:hAnsi="Times New Roman" w:cs="Times New Roman"/>
        </w:rPr>
        <w:t>Schedule of Expenditures of Federal Awards (SEFA)</w:t>
      </w:r>
      <w:r w:rsidRPr="00621D7E">
        <w:rPr>
          <w:rFonts w:ascii="Times New Roman" w:hAnsi="Times New Roman" w:cs="Times New Roman"/>
        </w:rPr>
        <w:t xml:space="preserve"> </w:t>
      </w:r>
    </w:p>
    <w:p w:rsidR="00621D7E" w:rsidRPr="00621D7E" w:rsidRDefault="00621D7E" w:rsidP="00771C46">
      <w:pPr>
        <w:spacing w:after="0"/>
        <w:jc w:val="both"/>
        <w:rPr>
          <w:rFonts w:ascii="Times New Roman" w:hAnsi="Times New Roman" w:cs="Times New Roman"/>
        </w:rPr>
      </w:pPr>
      <w:r w:rsidRPr="00621D7E">
        <w:rPr>
          <w:rFonts w:ascii="Times New Roman" w:hAnsi="Times New Roman" w:cs="Times New Roman"/>
          <w:b/>
        </w:rPr>
        <w:t xml:space="preserve">Facilitators: </w:t>
      </w:r>
      <w:r w:rsidRPr="00621D7E">
        <w:rPr>
          <w:rFonts w:ascii="Times New Roman" w:hAnsi="Times New Roman" w:cs="Times New Roman"/>
        </w:rPr>
        <w:t>Roger Basinger &amp; Jill Martin</w:t>
      </w:r>
    </w:p>
    <w:p w:rsidR="000E179C" w:rsidRPr="00621D7E" w:rsidRDefault="00621D7E" w:rsidP="00D31FB0">
      <w:pPr>
        <w:spacing w:after="0"/>
        <w:jc w:val="both"/>
        <w:rPr>
          <w:rFonts w:ascii="Times New Roman" w:hAnsi="Times New Roman" w:cs="Times New Roman"/>
        </w:rPr>
      </w:pPr>
      <w:r w:rsidRPr="00621D7E">
        <w:rPr>
          <w:rFonts w:ascii="Times New Roman" w:hAnsi="Times New Roman" w:cs="Times New Roman"/>
          <w:b/>
        </w:rPr>
        <w:t xml:space="preserve">Attendees: </w:t>
      </w:r>
      <w:hyperlink r:id="rId6" w:history="1">
        <w:r w:rsidR="00D31FB0" w:rsidRPr="00D31FB0">
          <w:rPr>
            <w:rStyle w:val="Hyperlink"/>
            <w:rFonts w:ascii="Times New Roman" w:hAnsi="Times New Roman" w:cs="Times New Roman"/>
            <w:b/>
          </w:rPr>
          <w:t>Participant List.xlsx</w:t>
        </w:r>
      </w:hyperlink>
    </w:p>
    <w:p w:rsidR="00746F8C" w:rsidRDefault="00746F8C" w:rsidP="00746F8C">
      <w:pPr>
        <w:jc w:val="both"/>
        <w:rPr>
          <w:rFonts w:ascii="Times New Roman" w:hAnsi="Times New Roman" w:cs="Times New Roman"/>
        </w:rPr>
      </w:pPr>
    </w:p>
    <w:p w:rsidR="00621D7E" w:rsidRDefault="00621D7E" w:rsidP="00746F8C">
      <w:pPr>
        <w:jc w:val="both"/>
        <w:rPr>
          <w:rFonts w:ascii="Times New Roman" w:hAnsi="Times New Roman" w:cs="Times New Roman"/>
          <w:b/>
          <w:u w:val="single"/>
        </w:rPr>
      </w:pPr>
      <w:r w:rsidRPr="00621D7E">
        <w:rPr>
          <w:rFonts w:ascii="Times New Roman" w:hAnsi="Times New Roman" w:cs="Times New Roman"/>
          <w:b/>
          <w:u w:val="single"/>
        </w:rPr>
        <w:t>Welcome and Introductions</w:t>
      </w:r>
    </w:p>
    <w:p w:rsidR="00621D7E" w:rsidRDefault="00621D7E" w:rsidP="00AA2BFB">
      <w:pPr>
        <w:spacing w:after="0" w:line="240" w:lineRule="auto"/>
        <w:jc w:val="both"/>
        <w:rPr>
          <w:rFonts w:ascii="Times New Roman" w:hAnsi="Times New Roman" w:cs="Times New Roman"/>
        </w:rPr>
      </w:pPr>
      <w:r>
        <w:rPr>
          <w:rFonts w:ascii="Times New Roman" w:hAnsi="Times New Roman" w:cs="Times New Roman"/>
        </w:rPr>
        <w:t>Roundtable f</w:t>
      </w:r>
      <w:r w:rsidRPr="005458C4">
        <w:rPr>
          <w:rFonts w:ascii="Times New Roman" w:hAnsi="Times New Roman" w:cs="Times New Roman"/>
        </w:rPr>
        <w:t>acilitators welcomed the attendees</w:t>
      </w:r>
      <w:r>
        <w:rPr>
          <w:rFonts w:ascii="Times New Roman" w:hAnsi="Times New Roman" w:cs="Times New Roman"/>
        </w:rPr>
        <w:t xml:space="preserve"> and</w:t>
      </w:r>
      <w:r w:rsidRPr="005458C4">
        <w:rPr>
          <w:rFonts w:ascii="Times New Roman" w:hAnsi="Times New Roman" w:cs="Times New Roman"/>
        </w:rPr>
        <w:t xml:space="preserve"> had each attendee introduce themselves stating their name and agency.</w:t>
      </w:r>
      <w:r>
        <w:rPr>
          <w:rFonts w:ascii="Times New Roman" w:hAnsi="Times New Roman" w:cs="Times New Roman"/>
        </w:rPr>
        <w:t xml:space="preserve"> </w:t>
      </w:r>
      <w:r w:rsidRPr="0008306A">
        <w:rPr>
          <w:rFonts w:ascii="Times New Roman" w:hAnsi="Times New Roman" w:cs="Times New Roman"/>
          <w:color w:val="000000" w:themeColor="text1"/>
        </w:rPr>
        <w:t xml:space="preserve">A total of </w:t>
      </w:r>
      <w:r w:rsidR="00D31FB0">
        <w:rPr>
          <w:rFonts w:ascii="Times New Roman" w:hAnsi="Times New Roman" w:cs="Times New Roman"/>
          <w:color w:val="000000" w:themeColor="text1"/>
        </w:rPr>
        <w:t>35</w:t>
      </w:r>
      <w:r w:rsidRPr="0008306A">
        <w:rPr>
          <w:rFonts w:ascii="Times New Roman" w:hAnsi="Times New Roman" w:cs="Times New Roman"/>
          <w:color w:val="000000" w:themeColor="text1"/>
        </w:rPr>
        <w:t xml:space="preserve"> participants from </w:t>
      </w:r>
      <w:r w:rsidR="00D31FB0" w:rsidRPr="00D31FB0">
        <w:rPr>
          <w:rFonts w:ascii="Times New Roman" w:hAnsi="Times New Roman" w:cs="Times New Roman"/>
          <w:color w:val="000000" w:themeColor="text1"/>
        </w:rPr>
        <w:t>20</w:t>
      </w:r>
      <w:r w:rsidRPr="0008306A">
        <w:rPr>
          <w:rFonts w:ascii="Times New Roman" w:hAnsi="Times New Roman" w:cs="Times New Roman"/>
          <w:color w:val="000000" w:themeColor="text1"/>
        </w:rPr>
        <w:t xml:space="preserve"> </w:t>
      </w:r>
      <w:r>
        <w:rPr>
          <w:rFonts w:ascii="Times New Roman" w:hAnsi="Times New Roman" w:cs="Times New Roman"/>
        </w:rPr>
        <w:t xml:space="preserve">different agencies attended in person and remotely. </w:t>
      </w:r>
    </w:p>
    <w:p w:rsidR="00AA2BFB" w:rsidRPr="00AA2BFB" w:rsidRDefault="00AA2BFB" w:rsidP="00AA2BFB">
      <w:pPr>
        <w:spacing w:after="0" w:line="240" w:lineRule="auto"/>
        <w:jc w:val="both"/>
        <w:rPr>
          <w:rFonts w:ascii="Times New Roman" w:hAnsi="Times New Roman" w:cs="Times New Roman"/>
        </w:rPr>
      </w:pPr>
    </w:p>
    <w:p w:rsidR="00621D7E" w:rsidRDefault="00D31FB0" w:rsidP="00771C46">
      <w:pPr>
        <w:jc w:val="both"/>
        <w:rPr>
          <w:rFonts w:ascii="Times New Roman" w:hAnsi="Times New Roman" w:cs="Times New Roman"/>
          <w:b/>
          <w:u w:val="single"/>
        </w:rPr>
      </w:pPr>
      <w:r>
        <w:rPr>
          <w:rFonts w:ascii="Times New Roman" w:hAnsi="Times New Roman" w:cs="Times New Roman"/>
          <w:b/>
          <w:u w:val="single"/>
        </w:rPr>
        <w:t>SEFA</w:t>
      </w:r>
      <w:r w:rsidR="00621D7E">
        <w:rPr>
          <w:rFonts w:ascii="Times New Roman" w:hAnsi="Times New Roman" w:cs="Times New Roman"/>
          <w:b/>
          <w:u w:val="single"/>
        </w:rPr>
        <w:t xml:space="preserve"> Presentation (Roger Basinger) </w:t>
      </w:r>
      <w:hyperlink r:id="rId7" w:history="1">
        <w:r w:rsidRPr="00D31FB0">
          <w:rPr>
            <w:rStyle w:val="Hyperlink"/>
            <w:rFonts w:ascii="Times New Roman" w:hAnsi="Times New Roman" w:cs="Times New Roman"/>
            <w:b/>
          </w:rPr>
          <w:t>Handouts\SEFA FY16 Presentation.pptx</w:t>
        </w:r>
      </w:hyperlink>
    </w:p>
    <w:p w:rsidR="00621D7E" w:rsidRDefault="00621D7E" w:rsidP="00771C46">
      <w:pPr>
        <w:spacing w:after="0" w:line="240" w:lineRule="auto"/>
        <w:jc w:val="both"/>
        <w:rPr>
          <w:rFonts w:ascii="Times New Roman" w:hAnsi="Times New Roman" w:cs="Times New Roman"/>
        </w:rPr>
      </w:pPr>
      <w:r>
        <w:rPr>
          <w:rFonts w:ascii="Times New Roman" w:hAnsi="Times New Roman" w:cs="Times New Roman"/>
        </w:rPr>
        <w:t xml:space="preserve">Following is a summary of the </w:t>
      </w:r>
      <w:r w:rsidR="00D31FB0">
        <w:rPr>
          <w:rFonts w:ascii="Times New Roman" w:hAnsi="Times New Roman" w:cs="Times New Roman"/>
        </w:rPr>
        <w:t>SEFA</w:t>
      </w:r>
      <w:r>
        <w:rPr>
          <w:rFonts w:ascii="Times New Roman" w:hAnsi="Times New Roman" w:cs="Times New Roman"/>
        </w:rPr>
        <w:t xml:space="preserve"> presentation</w:t>
      </w:r>
      <w:r w:rsidR="007B5BFE">
        <w:rPr>
          <w:rFonts w:ascii="Times New Roman" w:hAnsi="Times New Roman" w:cs="Times New Roman"/>
        </w:rPr>
        <w:t xml:space="preserve"> presented by Roger Basinger</w:t>
      </w:r>
      <w:r>
        <w:rPr>
          <w:rFonts w:ascii="Times New Roman" w:hAnsi="Times New Roman" w:cs="Times New Roman"/>
        </w:rPr>
        <w:t xml:space="preserve">. See link above for entire presentation. </w:t>
      </w:r>
    </w:p>
    <w:p w:rsidR="007B5BFE" w:rsidRDefault="007B5BFE" w:rsidP="00771C46">
      <w:pPr>
        <w:spacing w:after="0" w:line="240" w:lineRule="auto"/>
        <w:jc w:val="both"/>
        <w:rPr>
          <w:rFonts w:ascii="Times New Roman" w:hAnsi="Times New Roman" w:cs="Times New Roman"/>
        </w:rPr>
      </w:pPr>
    </w:p>
    <w:p w:rsidR="007B5BFE" w:rsidRPr="007B5BFE" w:rsidRDefault="007B5BFE" w:rsidP="00771C46">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FY 2015 </w:t>
      </w:r>
      <w:r w:rsidRPr="007B5BFE">
        <w:rPr>
          <w:rFonts w:ascii="Times New Roman" w:hAnsi="Times New Roman" w:cs="Times New Roman"/>
          <w:b/>
          <w:u w:val="single"/>
        </w:rPr>
        <w:t>Expenditures/Findings</w:t>
      </w:r>
    </w:p>
    <w:p w:rsidR="007B5BFE" w:rsidRDefault="00AD7961" w:rsidP="00AD7961">
      <w:pPr>
        <w:tabs>
          <w:tab w:val="left" w:pos="3180"/>
        </w:tabs>
        <w:spacing w:after="0" w:line="240" w:lineRule="auto"/>
        <w:jc w:val="both"/>
        <w:rPr>
          <w:rFonts w:ascii="Times New Roman" w:hAnsi="Times New Roman" w:cs="Times New Roman"/>
        </w:rPr>
      </w:pPr>
      <w:r>
        <w:rPr>
          <w:rFonts w:ascii="Times New Roman" w:hAnsi="Times New Roman" w:cs="Times New Roman"/>
        </w:rPr>
        <w:tab/>
      </w:r>
    </w:p>
    <w:p w:rsidR="007B5BFE" w:rsidRDefault="007B5BFE" w:rsidP="007B5BFE">
      <w:pPr>
        <w:pStyle w:val="ListParagraph"/>
        <w:numPr>
          <w:ilvl w:val="0"/>
          <w:numId w:val="15"/>
        </w:numPr>
        <w:spacing w:after="0" w:line="240" w:lineRule="auto"/>
        <w:jc w:val="both"/>
        <w:rPr>
          <w:rFonts w:ascii="Times New Roman" w:hAnsi="Times New Roman" w:cs="Times New Roman"/>
        </w:rPr>
      </w:pPr>
      <w:r w:rsidRPr="007B5BFE">
        <w:rPr>
          <w:rFonts w:ascii="Times New Roman" w:hAnsi="Times New Roman" w:cs="Times New Roman"/>
        </w:rPr>
        <w:t xml:space="preserve">Total reported expenditures for FY 2015 after eliminations were roughly $4.98 billion with roughly $690 million sub-granted. </w:t>
      </w:r>
    </w:p>
    <w:p w:rsidR="007B5BFE" w:rsidRPr="007B5BFE" w:rsidRDefault="007B5BFE" w:rsidP="007B5BFE">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There were a total of 26 findings from the 2015 SEFA audit. Some of these included eligibility determination errors, lack of documentation, financial statement findings, and non-compliance with grant provisions. </w:t>
      </w:r>
      <w:r w:rsidR="00AD7961">
        <w:rPr>
          <w:rFonts w:ascii="Times New Roman" w:hAnsi="Times New Roman" w:cs="Times New Roman"/>
        </w:rPr>
        <w:t xml:space="preserve">The financial statement findings are those found on the CAFR that were also included on the SEFA audit. </w:t>
      </w:r>
    </w:p>
    <w:p w:rsidR="007B5BFE" w:rsidRDefault="007B5BFE" w:rsidP="00771C46">
      <w:pPr>
        <w:spacing w:after="0" w:line="240" w:lineRule="auto"/>
        <w:jc w:val="both"/>
        <w:rPr>
          <w:rFonts w:ascii="Times New Roman" w:hAnsi="Times New Roman" w:cs="Times New Roman"/>
        </w:rPr>
      </w:pPr>
    </w:p>
    <w:p w:rsidR="007B5BFE" w:rsidRDefault="007B5BFE" w:rsidP="00771C46">
      <w:pPr>
        <w:spacing w:after="0" w:line="240" w:lineRule="auto"/>
        <w:jc w:val="both"/>
        <w:rPr>
          <w:rFonts w:ascii="Times New Roman" w:hAnsi="Times New Roman" w:cs="Times New Roman"/>
          <w:b/>
          <w:u w:val="single"/>
        </w:rPr>
      </w:pPr>
      <w:r w:rsidRPr="007B5BFE">
        <w:rPr>
          <w:rFonts w:ascii="Times New Roman" w:hAnsi="Times New Roman" w:cs="Times New Roman"/>
          <w:b/>
          <w:u w:val="single"/>
        </w:rPr>
        <w:t>Key Dates for SEFA FY 2016</w:t>
      </w:r>
    </w:p>
    <w:p w:rsidR="00CB73E4" w:rsidRDefault="00AD7961" w:rsidP="00AD7961">
      <w:pPr>
        <w:pStyle w:val="ListParagraph"/>
        <w:numPr>
          <w:ilvl w:val="0"/>
          <w:numId w:val="16"/>
        </w:numPr>
        <w:spacing w:after="0" w:line="240" w:lineRule="auto"/>
        <w:jc w:val="both"/>
        <w:rPr>
          <w:rFonts w:ascii="Times New Roman" w:hAnsi="Times New Roman" w:cs="Times New Roman"/>
        </w:rPr>
      </w:pPr>
      <w:r w:rsidRPr="00AD7961">
        <w:rPr>
          <w:rFonts w:ascii="Times New Roman" w:hAnsi="Times New Roman" w:cs="Times New Roman"/>
          <w:b/>
          <w:i/>
        </w:rPr>
        <w:t>July 19</w:t>
      </w:r>
      <w:r w:rsidRPr="00AD7961">
        <w:rPr>
          <w:rFonts w:ascii="Times New Roman" w:hAnsi="Times New Roman" w:cs="Times New Roman"/>
          <w:b/>
          <w:i/>
          <w:vertAlign w:val="superscript"/>
        </w:rPr>
        <w:t>th</w:t>
      </w:r>
      <w:r w:rsidRPr="00AD7961">
        <w:rPr>
          <w:rFonts w:ascii="Times New Roman" w:hAnsi="Times New Roman" w:cs="Times New Roman"/>
          <w:b/>
          <w:i/>
        </w:rPr>
        <w:t>, 2016</w:t>
      </w:r>
    </w:p>
    <w:p w:rsidR="00CB73E4" w:rsidRDefault="00AD7961" w:rsidP="00CB73E4">
      <w:pPr>
        <w:pStyle w:val="ListParagraph"/>
        <w:numPr>
          <w:ilvl w:val="1"/>
          <w:numId w:val="16"/>
        </w:numPr>
        <w:spacing w:after="0" w:line="240" w:lineRule="auto"/>
        <w:jc w:val="both"/>
        <w:rPr>
          <w:rFonts w:ascii="Times New Roman" w:hAnsi="Times New Roman" w:cs="Times New Roman"/>
        </w:rPr>
      </w:pPr>
      <w:r w:rsidRPr="00AD7961">
        <w:rPr>
          <w:rFonts w:ascii="Times New Roman" w:hAnsi="Times New Roman" w:cs="Times New Roman"/>
        </w:rPr>
        <w:t xml:space="preserve">SEFA documents were released by the </w:t>
      </w:r>
      <w:r>
        <w:rPr>
          <w:rFonts w:ascii="Times New Roman" w:hAnsi="Times New Roman" w:cs="Times New Roman"/>
        </w:rPr>
        <w:t>Office of the Chief Financial Officer (</w:t>
      </w:r>
      <w:r w:rsidRPr="00AD7961">
        <w:rPr>
          <w:rFonts w:ascii="Times New Roman" w:hAnsi="Times New Roman" w:cs="Times New Roman"/>
        </w:rPr>
        <w:t>OCFO</w:t>
      </w:r>
      <w:r>
        <w:rPr>
          <w:rFonts w:ascii="Times New Roman" w:hAnsi="Times New Roman" w:cs="Times New Roman"/>
        </w:rPr>
        <w:t>)</w:t>
      </w:r>
      <w:r w:rsidRPr="00AD7961">
        <w:rPr>
          <w:rFonts w:ascii="Times New Roman" w:hAnsi="Times New Roman" w:cs="Times New Roman"/>
        </w:rPr>
        <w:t xml:space="preserve">. </w:t>
      </w:r>
    </w:p>
    <w:p w:rsidR="00CB73E4" w:rsidRDefault="00AD7961" w:rsidP="00CB73E4">
      <w:pPr>
        <w:pStyle w:val="ListParagraph"/>
        <w:numPr>
          <w:ilvl w:val="1"/>
          <w:numId w:val="16"/>
        </w:numPr>
        <w:spacing w:after="0" w:line="240" w:lineRule="auto"/>
        <w:jc w:val="both"/>
        <w:rPr>
          <w:rFonts w:ascii="Times New Roman" w:hAnsi="Times New Roman" w:cs="Times New Roman"/>
        </w:rPr>
      </w:pPr>
      <w:r w:rsidRPr="00AD7961">
        <w:rPr>
          <w:rFonts w:ascii="Times New Roman" w:hAnsi="Times New Roman" w:cs="Times New Roman"/>
        </w:rPr>
        <w:t>These include the agency cover letter, 2016 DA-89, DA-89 instructions, and the agency certification.</w:t>
      </w:r>
      <w:r>
        <w:rPr>
          <w:rFonts w:ascii="Times New Roman" w:hAnsi="Times New Roman" w:cs="Times New Roman"/>
        </w:rPr>
        <w:t xml:space="preserve"> </w:t>
      </w:r>
    </w:p>
    <w:p w:rsidR="00AD7961" w:rsidRPr="00AD7961" w:rsidRDefault="00AD7961" w:rsidP="00CB73E4">
      <w:pPr>
        <w:pStyle w:val="ListParagraph"/>
        <w:numPr>
          <w:ilvl w:val="1"/>
          <w:numId w:val="16"/>
        </w:numPr>
        <w:spacing w:after="0" w:line="240" w:lineRule="auto"/>
        <w:jc w:val="both"/>
        <w:rPr>
          <w:rFonts w:ascii="Times New Roman" w:hAnsi="Times New Roman" w:cs="Times New Roman"/>
        </w:rPr>
      </w:pPr>
      <w:r w:rsidRPr="00AD7961">
        <w:rPr>
          <w:rFonts w:ascii="Times New Roman" w:hAnsi="Times New Roman" w:cs="Times New Roman"/>
        </w:rPr>
        <w:t xml:space="preserve">However, the 2016 OMB compliance supplement has yet to be released. </w:t>
      </w:r>
    </w:p>
    <w:p w:rsidR="00CB73E4" w:rsidRDefault="00AD7961" w:rsidP="00AD7961">
      <w:pPr>
        <w:pStyle w:val="ListParagraph"/>
        <w:numPr>
          <w:ilvl w:val="0"/>
          <w:numId w:val="16"/>
        </w:numPr>
        <w:spacing w:after="0" w:line="240" w:lineRule="auto"/>
        <w:jc w:val="both"/>
        <w:rPr>
          <w:rFonts w:ascii="Times New Roman" w:hAnsi="Times New Roman" w:cs="Times New Roman"/>
        </w:rPr>
      </w:pPr>
      <w:r w:rsidRPr="00AD7961">
        <w:rPr>
          <w:rFonts w:ascii="Times New Roman" w:hAnsi="Times New Roman" w:cs="Times New Roman"/>
          <w:b/>
          <w:i/>
        </w:rPr>
        <w:t>August 15, 2016</w:t>
      </w:r>
    </w:p>
    <w:p w:rsidR="00CB73E4" w:rsidRDefault="00AD7961" w:rsidP="00CB73E4">
      <w:pPr>
        <w:pStyle w:val="ListParagraph"/>
        <w:numPr>
          <w:ilvl w:val="1"/>
          <w:numId w:val="16"/>
        </w:numPr>
        <w:spacing w:after="0" w:line="240" w:lineRule="auto"/>
        <w:jc w:val="both"/>
        <w:rPr>
          <w:rFonts w:ascii="Times New Roman" w:hAnsi="Times New Roman" w:cs="Times New Roman"/>
        </w:rPr>
      </w:pPr>
      <w:r w:rsidRPr="00AD7961">
        <w:rPr>
          <w:rFonts w:ascii="Times New Roman" w:hAnsi="Times New Roman" w:cs="Times New Roman"/>
        </w:rPr>
        <w:t xml:space="preserve">Agency certifications and DA-89 </w:t>
      </w:r>
      <w:r>
        <w:rPr>
          <w:rFonts w:ascii="Times New Roman" w:hAnsi="Times New Roman" w:cs="Times New Roman"/>
        </w:rPr>
        <w:t>due to the OCFO.</w:t>
      </w:r>
      <w:r w:rsidR="00CB73E4">
        <w:rPr>
          <w:rFonts w:ascii="Times New Roman" w:hAnsi="Times New Roman" w:cs="Times New Roman"/>
        </w:rPr>
        <w:t xml:space="preserve"> </w:t>
      </w:r>
    </w:p>
    <w:p w:rsidR="007B5BFE" w:rsidRDefault="00CB73E4" w:rsidP="00CB73E4">
      <w:pPr>
        <w:pStyle w:val="ListParagraph"/>
        <w:numPr>
          <w:ilvl w:val="1"/>
          <w:numId w:val="16"/>
        </w:numPr>
        <w:spacing w:after="0" w:line="240" w:lineRule="auto"/>
        <w:jc w:val="both"/>
        <w:rPr>
          <w:rFonts w:ascii="Times New Roman" w:hAnsi="Times New Roman" w:cs="Times New Roman"/>
        </w:rPr>
      </w:pPr>
      <w:r>
        <w:rPr>
          <w:rFonts w:ascii="Times New Roman" w:hAnsi="Times New Roman" w:cs="Times New Roman"/>
        </w:rPr>
        <w:t>Certifications must be completed by all agencies whether or not they expended federal funds in FY16</w:t>
      </w:r>
    </w:p>
    <w:p w:rsidR="00AD7961" w:rsidRDefault="00AD7961" w:rsidP="00AD7961">
      <w:pPr>
        <w:pStyle w:val="ListParagraph"/>
        <w:numPr>
          <w:ilvl w:val="0"/>
          <w:numId w:val="16"/>
        </w:numPr>
        <w:spacing w:after="0" w:line="240" w:lineRule="auto"/>
        <w:jc w:val="both"/>
        <w:rPr>
          <w:rFonts w:ascii="Times New Roman" w:hAnsi="Times New Roman" w:cs="Times New Roman"/>
        </w:rPr>
      </w:pPr>
      <w:r w:rsidRPr="00AD7961">
        <w:rPr>
          <w:rFonts w:ascii="Times New Roman" w:hAnsi="Times New Roman" w:cs="Times New Roman"/>
          <w:b/>
          <w:i/>
        </w:rPr>
        <w:t>September 30, 2016</w:t>
      </w:r>
    </w:p>
    <w:p w:rsidR="00AD7961" w:rsidRDefault="00CB73E4" w:rsidP="00AD7961">
      <w:pPr>
        <w:pStyle w:val="ListParagraph"/>
        <w:numPr>
          <w:ilvl w:val="1"/>
          <w:numId w:val="16"/>
        </w:numPr>
        <w:spacing w:after="0" w:line="240" w:lineRule="auto"/>
        <w:jc w:val="both"/>
        <w:rPr>
          <w:rFonts w:ascii="Times New Roman" w:hAnsi="Times New Roman" w:cs="Times New Roman"/>
        </w:rPr>
      </w:pPr>
      <w:r>
        <w:rPr>
          <w:rFonts w:ascii="Times New Roman" w:hAnsi="Times New Roman" w:cs="Times New Roman"/>
        </w:rPr>
        <w:t>Universities only- second DA-89 containing only the CFDAs/student financial aid programs reported on the FISAP due.</w:t>
      </w:r>
    </w:p>
    <w:p w:rsidR="00CB73E4" w:rsidRDefault="00CB73E4" w:rsidP="00AD7961">
      <w:pPr>
        <w:pStyle w:val="ListParagraph"/>
        <w:numPr>
          <w:ilvl w:val="1"/>
          <w:numId w:val="16"/>
        </w:numPr>
        <w:spacing w:after="0" w:line="240" w:lineRule="auto"/>
        <w:jc w:val="both"/>
        <w:rPr>
          <w:rFonts w:ascii="Times New Roman" w:hAnsi="Times New Roman" w:cs="Times New Roman"/>
        </w:rPr>
      </w:pPr>
      <w:r>
        <w:rPr>
          <w:rFonts w:ascii="Times New Roman" w:hAnsi="Times New Roman" w:cs="Times New Roman"/>
        </w:rPr>
        <w:t>Preliminary SEFA due to Clifton, Larson, Allen (CLA)</w:t>
      </w:r>
    </w:p>
    <w:p w:rsidR="00AD7961" w:rsidRDefault="00AD7961" w:rsidP="00AD7961">
      <w:pPr>
        <w:pStyle w:val="ListParagraph"/>
        <w:numPr>
          <w:ilvl w:val="0"/>
          <w:numId w:val="16"/>
        </w:numPr>
        <w:spacing w:after="0" w:line="240" w:lineRule="auto"/>
        <w:jc w:val="both"/>
        <w:rPr>
          <w:rFonts w:ascii="Times New Roman" w:hAnsi="Times New Roman" w:cs="Times New Roman"/>
        </w:rPr>
      </w:pPr>
      <w:r w:rsidRPr="00AD7961">
        <w:rPr>
          <w:rFonts w:ascii="Times New Roman" w:hAnsi="Times New Roman" w:cs="Times New Roman"/>
          <w:b/>
          <w:i/>
        </w:rPr>
        <w:t>October 14, 2016</w:t>
      </w:r>
      <w:r w:rsidRPr="00AD7961">
        <w:rPr>
          <w:rFonts w:ascii="Times New Roman" w:hAnsi="Times New Roman" w:cs="Times New Roman"/>
        </w:rPr>
        <w:t>-</w:t>
      </w:r>
      <w:r>
        <w:rPr>
          <w:rFonts w:ascii="Times New Roman" w:hAnsi="Times New Roman" w:cs="Times New Roman"/>
        </w:rPr>
        <w:t xml:space="preserve">Final SEFA due to CLA </w:t>
      </w:r>
    </w:p>
    <w:p w:rsidR="00AD7961" w:rsidRPr="007B5BFE" w:rsidRDefault="00AD7961" w:rsidP="00771C46">
      <w:pPr>
        <w:spacing w:after="0" w:line="240" w:lineRule="auto"/>
        <w:jc w:val="both"/>
        <w:rPr>
          <w:rFonts w:ascii="Times New Roman" w:hAnsi="Times New Roman" w:cs="Times New Roman"/>
        </w:rPr>
      </w:pPr>
    </w:p>
    <w:p w:rsidR="007B5BFE" w:rsidRDefault="00AD7961" w:rsidP="00771C46">
      <w:pPr>
        <w:spacing w:after="0" w:line="240" w:lineRule="auto"/>
        <w:jc w:val="both"/>
        <w:rPr>
          <w:rFonts w:ascii="Times New Roman" w:hAnsi="Times New Roman" w:cs="Times New Roman"/>
        </w:rPr>
      </w:pPr>
      <w:r>
        <w:rPr>
          <w:rFonts w:ascii="Times New Roman" w:hAnsi="Times New Roman" w:cs="Times New Roman"/>
        </w:rPr>
        <w:t xml:space="preserve">Note: The Legislative Post Audit (LPA) will start contacting OCFO in August about the SEFA so that they can use the report to determine which programs to audit. </w:t>
      </w:r>
    </w:p>
    <w:p w:rsidR="001828EA" w:rsidRDefault="001828EA" w:rsidP="00771C46">
      <w:pPr>
        <w:spacing w:after="0" w:line="240" w:lineRule="auto"/>
        <w:jc w:val="both"/>
        <w:rPr>
          <w:rFonts w:ascii="Times New Roman" w:hAnsi="Times New Roman" w:cs="Times New Roman"/>
        </w:rPr>
      </w:pPr>
    </w:p>
    <w:p w:rsidR="007D202A" w:rsidRDefault="007D202A" w:rsidP="00771C46">
      <w:pPr>
        <w:jc w:val="both"/>
        <w:rPr>
          <w:rFonts w:ascii="Times New Roman" w:hAnsi="Times New Roman" w:cs="Times New Roman"/>
          <w:b/>
          <w:u w:val="single"/>
        </w:rPr>
      </w:pPr>
    </w:p>
    <w:p w:rsidR="007D202A" w:rsidRDefault="007D202A" w:rsidP="00771C46">
      <w:pPr>
        <w:jc w:val="both"/>
        <w:rPr>
          <w:rFonts w:ascii="Times New Roman" w:hAnsi="Times New Roman" w:cs="Times New Roman"/>
          <w:b/>
          <w:u w:val="single"/>
        </w:rPr>
      </w:pPr>
    </w:p>
    <w:p w:rsidR="00CB73E4" w:rsidRDefault="00CB73E4" w:rsidP="00771C46">
      <w:pPr>
        <w:jc w:val="both"/>
        <w:rPr>
          <w:rFonts w:ascii="Times New Roman" w:hAnsi="Times New Roman" w:cs="Times New Roman"/>
          <w:b/>
          <w:u w:val="single"/>
        </w:rPr>
      </w:pPr>
      <w:r>
        <w:rPr>
          <w:rFonts w:ascii="Times New Roman" w:hAnsi="Times New Roman" w:cs="Times New Roman"/>
          <w:b/>
          <w:u w:val="single"/>
        </w:rPr>
        <w:lastRenderedPageBreak/>
        <w:t>2016 SEFA Review</w:t>
      </w:r>
    </w:p>
    <w:p w:rsidR="007D202A" w:rsidRDefault="00CB73E4" w:rsidP="00771C46">
      <w:pPr>
        <w:jc w:val="both"/>
        <w:rPr>
          <w:rFonts w:ascii="Times New Roman" w:hAnsi="Times New Roman" w:cs="Times New Roman"/>
        </w:rPr>
      </w:pPr>
      <w:r w:rsidRPr="00CB73E4">
        <w:rPr>
          <w:rFonts w:ascii="Times New Roman" w:hAnsi="Times New Roman" w:cs="Times New Roman"/>
        </w:rPr>
        <w:t xml:space="preserve">A detailed review of form DA-89 was conducted including </w:t>
      </w:r>
      <w:r>
        <w:rPr>
          <w:rFonts w:ascii="Times New Roman" w:hAnsi="Times New Roman" w:cs="Times New Roman"/>
        </w:rPr>
        <w:t>the purpose and description of each column.</w:t>
      </w:r>
      <w:r w:rsidR="007D202A" w:rsidRPr="007D202A">
        <w:rPr>
          <w:rFonts w:ascii="Times New Roman" w:hAnsi="Times New Roman" w:cs="Times New Roman"/>
        </w:rPr>
        <w:t xml:space="preserve"> </w:t>
      </w:r>
      <w:r w:rsidR="007D202A">
        <w:rPr>
          <w:rFonts w:ascii="Times New Roman" w:hAnsi="Times New Roman" w:cs="Times New Roman"/>
        </w:rPr>
        <w:t>An example of the DA-89 is included</w:t>
      </w:r>
      <w:r w:rsidR="007D202A">
        <w:rPr>
          <w:rFonts w:ascii="Times New Roman" w:hAnsi="Times New Roman" w:cs="Times New Roman"/>
        </w:rPr>
        <w:t xml:space="preserve"> in the presentation linked above. </w:t>
      </w:r>
      <w:r>
        <w:rPr>
          <w:rFonts w:ascii="Times New Roman" w:hAnsi="Times New Roman" w:cs="Times New Roman"/>
        </w:rPr>
        <w:t xml:space="preserve"> </w:t>
      </w:r>
      <w:r w:rsidR="007D202A">
        <w:rPr>
          <w:rFonts w:ascii="Times New Roman" w:hAnsi="Times New Roman" w:cs="Times New Roman"/>
        </w:rPr>
        <w:t xml:space="preserve">A new column (column B) was added which asks whether or not each grant is subject to the Uniform Guidance or not. The option of both is also given. However, if the term both is chosen the agency must be able to tell the auditors what is subject to the old and what is subject to the new requirements. </w:t>
      </w:r>
    </w:p>
    <w:p w:rsidR="007D202A" w:rsidRDefault="007D202A" w:rsidP="00771C46">
      <w:pPr>
        <w:jc w:val="both"/>
        <w:rPr>
          <w:rFonts w:ascii="Times New Roman" w:hAnsi="Times New Roman" w:cs="Times New Roman"/>
        </w:rPr>
      </w:pPr>
      <w:r>
        <w:rPr>
          <w:rFonts w:ascii="Times New Roman" w:hAnsi="Times New Roman" w:cs="Times New Roman"/>
        </w:rPr>
        <w:t xml:space="preserve">Some additional items that were stressed include: </w:t>
      </w:r>
    </w:p>
    <w:p w:rsidR="007D202A" w:rsidRPr="00D42791" w:rsidRDefault="007D202A" w:rsidP="00D42791">
      <w:pPr>
        <w:pStyle w:val="ListParagraph"/>
        <w:numPr>
          <w:ilvl w:val="0"/>
          <w:numId w:val="17"/>
        </w:numPr>
        <w:jc w:val="both"/>
        <w:rPr>
          <w:rFonts w:ascii="Times New Roman" w:hAnsi="Times New Roman" w:cs="Times New Roman"/>
        </w:rPr>
      </w:pPr>
      <w:r w:rsidRPr="00D42791">
        <w:rPr>
          <w:rFonts w:ascii="Times New Roman" w:hAnsi="Times New Roman" w:cs="Times New Roman"/>
          <w:b/>
        </w:rPr>
        <w:t>R &amp; D grants</w:t>
      </w:r>
      <w:r w:rsidRPr="00D42791">
        <w:rPr>
          <w:rFonts w:ascii="Times New Roman" w:hAnsi="Times New Roman" w:cs="Times New Roman"/>
        </w:rPr>
        <w:t xml:space="preserve"> -There was a situation last year where a state agency had both operating provisions and R&amp;D provisions within the same CFDA. The agency ended up having to split out the R&amp;D and operating expenditures on the DA-89. </w:t>
      </w:r>
    </w:p>
    <w:p w:rsidR="00CB73E4" w:rsidRDefault="007D202A" w:rsidP="00D42791">
      <w:pPr>
        <w:pStyle w:val="ListParagraph"/>
        <w:numPr>
          <w:ilvl w:val="0"/>
          <w:numId w:val="17"/>
        </w:numPr>
        <w:jc w:val="both"/>
        <w:rPr>
          <w:rFonts w:ascii="Times New Roman" w:hAnsi="Times New Roman" w:cs="Times New Roman"/>
        </w:rPr>
      </w:pPr>
      <w:r w:rsidRPr="00D42791">
        <w:rPr>
          <w:rFonts w:ascii="Times New Roman" w:hAnsi="Times New Roman" w:cs="Times New Roman"/>
          <w:b/>
        </w:rPr>
        <w:t>Subrecipient vs. Contractor relationships</w:t>
      </w:r>
      <w:r w:rsidRPr="00D42791">
        <w:rPr>
          <w:rFonts w:ascii="Times New Roman" w:hAnsi="Times New Roman" w:cs="Times New Roman"/>
        </w:rPr>
        <w:t>- Whether or not an awardee is a subrecipient or contractor</w:t>
      </w:r>
      <w:r w:rsidR="00CB73E4" w:rsidRPr="00D42791">
        <w:rPr>
          <w:rFonts w:ascii="Times New Roman" w:hAnsi="Times New Roman" w:cs="Times New Roman"/>
        </w:rPr>
        <w:t xml:space="preserve"> should be determined based on the provisions in the Uniform Guidance and that documentation of the decision needs to be maintained. </w:t>
      </w:r>
    </w:p>
    <w:p w:rsidR="00D42791" w:rsidRPr="00D42791" w:rsidRDefault="00D42791" w:rsidP="00D42791">
      <w:pPr>
        <w:pStyle w:val="ListParagraph"/>
        <w:numPr>
          <w:ilvl w:val="0"/>
          <w:numId w:val="17"/>
        </w:numPr>
        <w:jc w:val="both"/>
        <w:rPr>
          <w:rFonts w:ascii="Times New Roman" w:hAnsi="Times New Roman" w:cs="Times New Roman"/>
        </w:rPr>
      </w:pPr>
      <w:r>
        <w:rPr>
          <w:rFonts w:ascii="Times New Roman" w:hAnsi="Times New Roman" w:cs="Times New Roman"/>
          <w:b/>
        </w:rPr>
        <w:t>Purchase discounts and rebates</w:t>
      </w:r>
      <w:r w:rsidRPr="00D42791">
        <w:rPr>
          <w:rFonts w:ascii="Times New Roman" w:hAnsi="Times New Roman" w:cs="Times New Roman"/>
        </w:rPr>
        <w:t>-</w:t>
      </w:r>
      <w:r>
        <w:rPr>
          <w:rFonts w:ascii="Times New Roman" w:hAnsi="Times New Roman" w:cs="Times New Roman"/>
        </w:rPr>
        <w:t xml:space="preserve">Expenditures must be reduced to reflect any rebates, purchase discounts, allowances, recoveries, adjustments of overpayments, etc. </w:t>
      </w:r>
    </w:p>
    <w:p w:rsidR="000E179C" w:rsidRDefault="00D31FB0" w:rsidP="00771C46">
      <w:pPr>
        <w:jc w:val="both"/>
        <w:rPr>
          <w:rFonts w:ascii="Times New Roman" w:hAnsi="Times New Roman" w:cs="Times New Roman"/>
          <w:b/>
          <w:u w:val="single"/>
        </w:rPr>
      </w:pPr>
      <w:r w:rsidRPr="00D31FB0">
        <w:rPr>
          <w:rFonts w:ascii="Times New Roman" w:hAnsi="Times New Roman" w:cs="Times New Roman"/>
          <w:b/>
          <w:u w:val="single"/>
        </w:rPr>
        <w:t>Questions/</w:t>
      </w:r>
      <w:r w:rsidR="000E179C" w:rsidRPr="00D31FB0">
        <w:rPr>
          <w:rFonts w:ascii="Times New Roman" w:hAnsi="Times New Roman" w:cs="Times New Roman"/>
          <w:b/>
          <w:u w:val="single"/>
        </w:rPr>
        <w:t>Other Items Discussed</w:t>
      </w:r>
    </w:p>
    <w:p w:rsidR="007D202A" w:rsidRDefault="005E1D53" w:rsidP="00771C46">
      <w:pPr>
        <w:jc w:val="both"/>
        <w:rPr>
          <w:rFonts w:ascii="Times New Roman" w:hAnsi="Times New Roman" w:cs="Times New Roman"/>
        </w:rPr>
      </w:pPr>
      <w:r w:rsidRPr="005E1D53">
        <w:rPr>
          <w:rFonts w:ascii="Times New Roman" w:hAnsi="Times New Roman" w:cs="Times New Roman"/>
        </w:rPr>
        <w:t xml:space="preserve">One agency asked </w:t>
      </w:r>
      <w:r>
        <w:rPr>
          <w:rFonts w:ascii="Times New Roman" w:hAnsi="Times New Roman" w:cs="Times New Roman"/>
        </w:rPr>
        <w:t xml:space="preserve">if a program were to switch federal agencies and got a new CFDA number would they be considered a new program for FY 2016. Roger stated that </w:t>
      </w:r>
      <w:proofErr w:type="gramStart"/>
      <w:r>
        <w:rPr>
          <w:rFonts w:ascii="Times New Roman" w:hAnsi="Times New Roman" w:cs="Times New Roman"/>
        </w:rPr>
        <w:t>yes,</w:t>
      </w:r>
      <w:proofErr w:type="gramEnd"/>
      <w:r>
        <w:rPr>
          <w:rFonts w:ascii="Times New Roman" w:hAnsi="Times New Roman" w:cs="Times New Roman"/>
        </w:rPr>
        <w:t xml:space="preserve"> this would be considered a new program. </w:t>
      </w:r>
    </w:p>
    <w:p w:rsidR="005E1D53" w:rsidRPr="005E1D53" w:rsidRDefault="005E1D53" w:rsidP="00771C46">
      <w:pPr>
        <w:jc w:val="both"/>
        <w:rPr>
          <w:rFonts w:ascii="Times New Roman" w:hAnsi="Times New Roman" w:cs="Times New Roman"/>
        </w:rPr>
      </w:pPr>
      <w:r>
        <w:rPr>
          <w:rFonts w:ascii="Times New Roman" w:hAnsi="Times New Roman" w:cs="Times New Roman"/>
        </w:rPr>
        <w:t xml:space="preserve">Additionally, Roger mentioned that the next roundtable meeting would probably not be until October 2016 with the topic to be determined. </w:t>
      </w:r>
    </w:p>
    <w:p w:rsidR="0002378C" w:rsidRDefault="0002378C" w:rsidP="00771C46">
      <w:pPr>
        <w:spacing w:after="0"/>
        <w:jc w:val="both"/>
        <w:rPr>
          <w:rFonts w:ascii="Times New Roman" w:hAnsi="Times New Roman" w:cs="Times New Roman"/>
          <w:b/>
          <w:u w:val="single"/>
        </w:rPr>
      </w:pPr>
      <w:bookmarkStart w:id="0" w:name="_GoBack"/>
      <w:bookmarkEnd w:id="0"/>
    </w:p>
    <w:p w:rsidR="00621D7E" w:rsidRPr="00BA0538" w:rsidRDefault="00D31FB0" w:rsidP="00771C46">
      <w:pPr>
        <w:spacing w:after="0"/>
        <w:jc w:val="both"/>
        <w:rPr>
          <w:rFonts w:ascii="Times New Roman" w:hAnsi="Times New Roman" w:cs="Times New Roman"/>
          <w:b/>
        </w:rPr>
      </w:pPr>
      <w:r>
        <w:rPr>
          <w:rFonts w:ascii="Times New Roman" w:hAnsi="Times New Roman" w:cs="Times New Roman"/>
          <w:b/>
        </w:rPr>
        <w:t>Meeting Adjourned 1</w:t>
      </w:r>
      <w:r w:rsidR="004B2565">
        <w:rPr>
          <w:rFonts w:ascii="Times New Roman" w:hAnsi="Times New Roman" w:cs="Times New Roman"/>
          <w:b/>
        </w:rPr>
        <w:t>0:20</w:t>
      </w:r>
      <w:r w:rsidR="00621D7E" w:rsidRPr="00BA0538">
        <w:rPr>
          <w:rFonts w:ascii="Times New Roman" w:hAnsi="Times New Roman" w:cs="Times New Roman"/>
          <w:b/>
        </w:rPr>
        <w:t xml:space="preserve"> am </w:t>
      </w:r>
    </w:p>
    <w:p w:rsidR="00621D7E" w:rsidRDefault="00621D7E" w:rsidP="00771C46">
      <w:pPr>
        <w:jc w:val="both"/>
        <w:rPr>
          <w:rFonts w:ascii="Times New Roman" w:hAnsi="Times New Roman" w:cs="Times New Roman"/>
          <w:b/>
          <w:u w:val="single"/>
        </w:rPr>
      </w:pPr>
    </w:p>
    <w:p w:rsidR="00621D7E" w:rsidRPr="00621D7E" w:rsidRDefault="00621D7E">
      <w:pPr>
        <w:rPr>
          <w:rFonts w:ascii="Times New Roman" w:hAnsi="Times New Roman" w:cs="Times New Roman"/>
          <w:b/>
          <w:u w:val="single"/>
        </w:rPr>
      </w:pPr>
    </w:p>
    <w:sectPr w:rsidR="00621D7E" w:rsidRPr="0062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B72"/>
    <w:multiLevelType w:val="hybridMultilevel"/>
    <w:tmpl w:val="DDEC651A"/>
    <w:lvl w:ilvl="0" w:tplc="04090001">
      <w:start w:val="1"/>
      <w:numFmt w:val="bullet"/>
      <w:lvlText w:val=""/>
      <w:lvlJc w:val="left"/>
      <w:pPr>
        <w:tabs>
          <w:tab w:val="num" w:pos="720"/>
        </w:tabs>
        <w:ind w:left="720" w:hanging="360"/>
      </w:pPr>
      <w:rPr>
        <w:rFonts w:ascii="Symbol" w:hAnsi="Symbol" w:hint="default"/>
      </w:rPr>
    </w:lvl>
    <w:lvl w:ilvl="1" w:tplc="60E6F540" w:tentative="1">
      <w:start w:val="1"/>
      <w:numFmt w:val="bullet"/>
      <w:lvlText w:val=""/>
      <w:lvlJc w:val="left"/>
      <w:pPr>
        <w:tabs>
          <w:tab w:val="num" w:pos="1440"/>
        </w:tabs>
        <w:ind w:left="1440" w:hanging="360"/>
      </w:pPr>
      <w:rPr>
        <w:rFonts w:ascii="Wingdings" w:hAnsi="Wingdings" w:hint="default"/>
      </w:rPr>
    </w:lvl>
    <w:lvl w:ilvl="2" w:tplc="5DAAD43A" w:tentative="1">
      <w:start w:val="1"/>
      <w:numFmt w:val="bullet"/>
      <w:lvlText w:val=""/>
      <w:lvlJc w:val="left"/>
      <w:pPr>
        <w:tabs>
          <w:tab w:val="num" w:pos="2160"/>
        </w:tabs>
        <w:ind w:left="2160" w:hanging="360"/>
      </w:pPr>
      <w:rPr>
        <w:rFonts w:ascii="Wingdings" w:hAnsi="Wingdings" w:hint="default"/>
      </w:rPr>
    </w:lvl>
    <w:lvl w:ilvl="3" w:tplc="39CEE326" w:tentative="1">
      <w:start w:val="1"/>
      <w:numFmt w:val="bullet"/>
      <w:lvlText w:val=""/>
      <w:lvlJc w:val="left"/>
      <w:pPr>
        <w:tabs>
          <w:tab w:val="num" w:pos="2880"/>
        </w:tabs>
        <w:ind w:left="2880" w:hanging="360"/>
      </w:pPr>
      <w:rPr>
        <w:rFonts w:ascii="Wingdings" w:hAnsi="Wingdings" w:hint="default"/>
      </w:rPr>
    </w:lvl>
    <w:lvl w:ilvl="4" w:tplc="D41CB456" w:tentative="1">
      <w:start w:val="1"/>
      <w:numFmt w:val="bullet"/>
      <w:lvlText w:val=""/>
      <w:lvlJc w:val="left"/>
      <w:pPr>
        <w:tabs>
          <w:tab w:val="num" w:pos="3600"/>
        </w:tabs>
        <w:ind w:left="3600" w:hanging="360"/>
      </w:pPr>
      <w:rPr>
        <w:rFonts w:ascii="Wingdings" w:hAnsi="Wingdings" w:hint="default"/>
      </w:rPr>
    </w:lvl>
    <w:lvl w:ilvl="5" w:tplc="C8E8E238" w:tentative="1">
      <w:start w:val="1"/>
      <w:numFmt w:val="bullet"/>
      <w:lvlText w:val=""/>
      <w:lvlJc w:val="left"/>
      <w:pPr>
        <w:tabs>
          <w:tab w:val="num" w:pos="4320"/>
        </w:tabs>
        <w:ind w:left="4320" w:hanging="360"/>
      </w:pPr>
      <w:rPr>
        <w:rFonts w:ascii="Wingdings" w:hAnsi="Wingdings" w:hint="default"/>
      </w:rPr>
    </w:lvl>
    <w:lvl w:ilvl="6" w:tplc="259C17D6" w:tentative="1">
      <w:start w:val="1"/>
      <w:numFmt w:val="bullet"/>
      <w:lvlText w:val=""/>
      <w:lvlJc w:val="left"/>
      <w:pPr>
        <w:tabs>
          <w:tab w:val="num" w:pos="5040"/>
        </w:tabs>
        <w:ind w:left="5040" w:hanging="360"/>
      </w:pPr>
      <w:rPr>
        <w:rFonts w:ascii="Wingdings" w:hAnsi="Wingdings" w:hint="default"/>
      </w:rPr>
    </w:lvl>
    <w:lvl w:ilvl="7" w:tplc="F606CE4C" w:tentative="1">
      <w:start w:val="1"/>
      <w:numFmt w:val="bullet"/>
      <w:lvlText w:val=""/>
      <w:lvlJc w:val="left"/>
      <w:pPr>
        <w:tabs>
          <w:tab w:val="num" w:pos="5760"/>
        </w:tabs>
        <w:ind w:left="5760" w:hanging="360"/>
      </w:pPr>
      <w:rPr>
        <w:rFonts w:ascii="Wingdings" w:hAnsi="Wingdings" w:hint="default"/>
      </w:rPr>
    </w:lvl>
    <w:lvl w:ilvl="8" w:tplc="F0429FD2" w:tentative="1">
      <w:start w:val="1"/>
      <w:numFmt w:val="bullet"/>
      <w:lvlText w:val=""/>
      <w:lvlJc w:val="left"/>
      <w:pPr>
        <w:tabs>
          <w:tab w:val="num" w:pos="6480"/>
        </w:tabs>
        <w:ind w:left="6480" w:hanging="360"/>
      </w:pPr>
      <w:rPr>
        <w:rFonts w:ascii="Wingdings" w:hAnsi="Wingdings" w:hint="default"/>
      </w:rPr>
    </w:lvl>
  </w:abstractNum>
  <w:abstractNum w:abstractNumId="1">
    <w:nsid w:val="165F696B"/>
    <w:multiLevelType w:val="hybridMultilevel"/>
    <w:tmpl w:val="DFA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B098C"/>
    <w:multiLevelType w:val="hybridMultilevel"/>
    <w:tmpl w:val="07A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64CC9"/>
    <w:multiLevelType w:val="hybridMultilevel"/>
    <w:tmpl w:val="067C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F5E3D"/>
    <w:multiLevelType w:val="hybridMultilevel"/>
    <w:tmpl w:val="26C0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D39B5"/>
    <w:multiLevelType w:val="hybridMultilevel"/>
    <w:tmpl w:val="2E5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605DC"/>
    <w:multiLevelType w:val="hybridMultilevel"/>
    <w:tmpl w:val="E60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E5DF9"/>
    <w:multiLevelType w:val="hybridMultilevel"/>
    <w:tmpl w:val="C66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F081F"/>
    <w:multiLevelType w:val="hybridMultilevel"/>
    <w:tmpl w:val="9D70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A2747"/>
    <w:multiLevelType w:val="hybridMultilevel"/>
    <w:tmpl w:val="224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845A2"/>
    <w:multiLevelType w:val="hybridMultilevel"/>
    <w:tmpl w:val="32E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1747D"/>
    <w:multiLevelType w:val="hybridMultilevel"/>
    <w:tmpl w:val="64B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D575B"/>
    <w:multiLevelType w:val="hybridMultilevel"/>
    <w:tmpl w:val="E9BC6906"/>
    <w:lvl w:ilvl="0" w:tplc="971EFAFC">
      <w:start w:val="1"/>
      <w:numFmt w:val="bullet"/>
      <w:lvlText w:val=""/>
      <w:lvlJc w:val="left"/>
      <w:pPr>
        <w:tabs>
          <w:tab w:val="num" w:pos="720"/>
        </w:tabs>
        <w:ind w:left="720" w:hanging="360"/>
      </w:pPr>
      <w:rPr>
        <w:rFonts w:ascii="Wingdings" w:hAnsi="Wingdings" w:hint="default"/>
      </w:rPr>
    </w:lvl>
    <w:lvl w:ilvl="1" w:tplc="60E6F540" w:tentative="1">
      <w:start w:val="1"/>
      <w:numFmt w:val="bullet"/>
      <w:lvlText w:val=""/>
      <w:lvlJc w:val="left"/>
      <w:pPr>
        <w:tabs>
          <w:tab w:val="num" w:pos="1440"/>
        </w:tabs>
        <w:ind w:left="1440" w:hanging="360"/>
      </w:pPr>
      <w:rPr>
        <w:rFonts w:ascii="Wingdings" w:hAnsi="Wingdings" w:hint="default"/>
      </w:rPr>
    </w:lvl>
    <w:lvl w:ilvl="2" w:tplc="5DAAD43A" w:tentative="1">
      <w:start w:val="1"/>
      <w:numFmt w:val="bullet"/>
      <w:lvlText w:val=""/>
      <w:lvlJc w:val="left"/>
      <w:pPr>
        <w:tabs>
          <w:tab w:val="num" w:pos="2160"/>
        </w:tabs>
        <w:ind w:left="2160" w:hanging="360"/>
      </w:pPr>
      <w:rPr>
        <w:rFonts w:ascii="Wingdings" w:hAnsi="Wingdings" w:hint="default"/>
      </w:rPr>
    </w:lvl>
    <w:lvl w:ilvl="3" w:tplc="39CEE326" w:tentative="1">
      <w:start w:val="1"/>
      <w:numFmt w:val="bullet"/>
      <w:lvlText w:val=""/>
      <w:lvlJc w:val="left"/>
      <w:pPr>
        <w:tabs>
          <w:tab w:val="num" w:pos="2880"/>
        </w:tabs>
        <w:ind w:left="2880" w:hanging="360"/>
      </w:pPr>
      <w:rPr>
        <w:rFonts w:ascii="Wingdings" w:hAnsi="Wingdings" w:hint="default"/>
      </w:rPr>
    </w:lvl>
    <w:lvl w:ilvl="4" w:tplc="D41CB456" w:tentative="1">
      <w:start w:val="1"/>
      <w:numFmt w:val="bullet"/>
      <w:lvlText w:val=""/>
      <w:lvlJc w:val="left"/>
      <w:pPr>
        <w:tabs>
          <w:tab w:val="num" w:pos="3600"/>
        </w:tabs>
        <w:ind w:left="3600" w:hanging="360"/>
      </w:pPr>
      <w:rPr>
        <w:rFonts w:ascii="Wingdings" w:hAnsi="Wingdings" w:hint="default"/>
      </w:rPr>
    </w:lvl>
    <w:lvl w:ilvl="5" w:tplc="C8E8E238" w:tentative="1">
      <w:start w:val="1"/>
      <w:numFmt w:val="bullet"/>
      <w:lvlText w:val=""/>
      <w:lvlJc w:val="left"/>
      <w:pPr>
        <w:tabs>
          <w:tab w:val="num" w:pos="4320"/>
        </w:tabs>
        <w:ind w:left="4320" w:hanging="360"/>
      </w:pPr>
      <w:rPr>
        <w:rFonts w:ascii="Wingdings" w:hAnsi="Wingdings" w:hint="default"/>
      </w:rPr>
    </w:lvl>
    <w:lvl w:ilvl="6" w:tplc="259C17D6" w:tentative="1">
      <w:start w:val="1"/>
      <w:numFmt w:val="bullet"/>
      <w:lvlText w:val=""/>
      <w:lvlJc w:val="left"/>
      <w:pPr>
        <w:tabs>
          <w:tab w:val="num" w:pos="5040"/>
        </w:tabs>
        <w:ind w:left="5040" w:hanging="360"/>
      </w:pPr>
      <w:rPr>
        <w:rFonts w:ascii="Wingdings" w:hAnsi="Wingdings" w:hint="default"/>
      </w:rPr>
    </w:lvl>
    <w:lvl w:ilvl="7" w:tplc="F606CE4C" w:tentative="1">
      <w:start w:val="1"/>
      <w:numFmt w:val="bullet"/>
      <w:lvlText w:val=""/>
      <w:lvlJc w:val="left"/>
      <w:pPr>
        <w:tabs>
          <w:tab w:val="num" w:pos="5760"/>
        </w:tabs>
        <w:ind w:left="5760" w:hanging="360"/>
      </w:pPr>
      <w:rPr>
        <w:rFonts w:ascii="Wingdings" w:hAnsi="Wingdings" w:hint="default"/>
      </w:rPr>
    </w:lvl>
    <w:lvl w:ilvl="8" w:tplc="F0429FD2" w:tentative="1">
      <w:start w:val="1"/>
      <w:numFmt w:val="bullet"/>
      <w:lvlText w:val=""/>
      <w:lvlJc w:val="left"/>
      <w:pPr>
        <w:tabs>
          <w:tab w:val="num" w:pos="6480"/>
        </w:tabs>
        <w:ind w:left="6480" w:hanging="360"/>
      </w:pPr>
      <w:rPr>
        <w:rFonts w:ascii="Wingdings" w:hAnsi="Wingdings" w:hint="default"/>
      </w:rPr>
    </w:lvl>
  </w:abstractNum>
  <w:abstractNum w:abstractNumId="13">
    <w:nsid w:val="656E06E4"/>
    <w:multiLevelType w:val="hybridMultilevel"/>
    <w:tmpl w:val="0148A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9245B"/>
    <w:multiLevelType w:val="hybridMultilevel"/>
    <w:tmpl w:val="C37018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75977E17"/>
    <w:multiLevelType w:val="hybridMultilevel"/>
    <w:tmpl w:val="2558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7B9C"/>
    <w:multiLevelType w:val="hybridMultilevel"/>
    <w:tmpl w:val="C2AA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7"/>
  </w:num>
  <w:num w:numId="5">
    <w:abstractNumId w:val="14"/>
  </w:num>
  <w:num w:numId="6">
    <w:abstractNumId w:val="5"/>
  </w:num>
  <w:num w:numId="7">
    <w:abstractNumId w:val="10"/>
  </w:num>
  <w:num w:numId="8">
    <w:abstractNumId w:val="11"/>
  </w:num>
  <w:num w:numId="9">
    <w:abstractNumId w:val="4"/>
  </w:num>
  <w:num w:numId="10">
    <w:abstractNumId w:val="6"/>
  </w:num>
  <w:num w:numId="11">
    <w:abstractNumId w:val="12"/>
  </w:num>
  <w:num w:numId="12">
    <w:abstractNumId w:val="0"/>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C"/>
    <w:rsid w:val="0002378C"/>
    <w:rsid w:val="000C0AF1"/>
    <w:rsid w:val="000E179C"/>
    <w:rsid w:val="001828EA"/>
    <w:rsid w:val="00190090"/>
    <w:rsid w:val="001A3983"/>
    <w:rsid w:val="00276450"/>
    <w:rsid w:val="002B3988"/>
    <w:rsid w:val="002C0159"/>
    <w:rsid w:val="002E1275"/>
    <w:rsid w:val="00320BF3"/>
    <w:rsid w:val="003C2C24"/>
    <w:rsid w:val="004A7F7E"/>
    <w:rsid w:val="004B2565"/>
    <w:rsid w:val="005E1D53"/>
    <w:rsid w:val="005F234C"/>
    <w:rsid w:val="00621D7E"/>
    <w:rsid w:val="00746F8C"/>
    <w:rsid w:val="00771C46"/>
    <w:rsid w:val="007B5BFE"/>
    <w:rsid w:val="007D202A"/>
    <w:rsid w:val="00857345"/>
    <w:rsid w:val="008B7326"/>
    <w:rsid w:val="008D72DC"/>
    <w:rsid w:val="00A51D9B"/>
    <w:rsid w:val="00AA2BFB"/>
    <w:rsid w:val="00AB05F9"/>
    <w:rsid w:val="00AD7961"/>
    <w:rsid w:val="00AE6295"/>
    <w:rsid w:val="00B64492"/>
    <w:rsid w:val="00BD3933"/>
    <w:rsid w:val="00C53405"/>
    <w:rsid w:val="00CA0893"/>
    <w:rsid w:val="00CB73E4"/>
    <w:rsid w:val="00CE6B50"/>
    <w:rsid w:val="00D31FB0"/>
    <w:rsid w:val="00D42791"/>
    <w:rsid w:val="00DE3ACD"/>
    <w:rsid w:val="00E71DB3"/>
    <w:rsid w:val="00F3117E"/>
    <w:rsid w:val="00F6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7E"/>
    <w:rPr>
      <w:color w:val="0000FF" w:themeColor="hyperlink"/>
      <w:u w:val="single"/>
    </w:rPr>
  </w:style>
  <w:style w:type="paragraph" w:styleId="ListParagraph">
    <w:name w:val="List Paragraph"/>
    <w:basedOn w:val="Normal"/>
    <w:uiPriority w:val="34"/>
    <w:qFormat/>
    <w:rsid w:val="008B7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7E"/>
    <w:rPr>
      <w:color w:val="0000FF" w:themeColor="hyperlink"/>
      <w:u w:val="single"/>
    </w:rPr>
  </w:style>
  <w:style w:type="paragraph" w:styleId="ListParagraph">
    <w:name w:val="List Paragraph"/>
    <w:basedOn w:val="Normal"/>
    <w:uiPriority w:val="34"/>
    <w:qFormat/>
    <w:rsid w:val="008B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6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7172">
          <w:marLeft w:val="432"/>
          <w:marRight w:val="0"/>
          <w:marTop w:val="96"/>
          <w:marBottom w:val="0"/>
          <w:divBdr>
            <w:top w:val="none" w:sz="0" w:space="0" w:color="auto"/>
            <w:left w:val="none" w:sz="0" w:space="0" w:color="auto"/>
            <w:bottom w:val="none" w:sz="0" w:space="0" w:color="auto"/>
            <w:right w:val="none" w:sz="0" w:space="0" w:color="auto"/>
          </w:divBdr>
        </w:div>
        <w:div w:id="160701575">
          <w:marLeft w:val="432"/>
          <w:marRight w:val="0"/>
          <w:marTop w:val="96"/>
          <w:marBottom w:val="0"/>
          <w:divBdr>
            <w:top w:val="none" w:sz="0" w:space="0" w:color="auto"/>
            <w:left w:val="none" w:sz="0" w:space="0" w:color="auto"/>
            <w:bottom w:val="none" w:sz="0" w:space="0" w:color="auto"/>
            <w:right w:val="none" w:sz="0" w:space="0" w:color="auto"/>
          </w:divBdr>
        </w:div>
        <w:div w:id="1481848392">
          <w:marLeft w:val="432"/>
          <w:marRight w:val="0"/>
          <w:marTop w:val="96"/>
          <w:marBottom w:val="0"/>
          <w:divBdr>
            <w:top w:val="none" w:sz="0" w:space="0" w:color="auto"/>
            <w:left w:val="none" w:sz="0" w:space="0" w:color="auto"/>
            <w:bottom w:val="none" w:sz="0" w:space="0" w:color="auto"/>
            <w:right w:val="none" w:sz="0" w:space="0" w:color="auto"/>
          </w:divBdr>
        </w:div>
        <w:div w:id="986785007">
          <w:marLeft w:val="432"/>
          <w:marRight w:val="0"/>
          <w:marTop w:val="96"/>
          <w:marBottom w:val="0"/>
          <w:divBdr>
            <w:top w:val="none" w:sz="0" w:space="0" w:color="auto"/>
            <w:left w:val="none" w:sz="0" w:space="0" w:color="auto"/>
            <w:bottom w:val="none" w:sz="0" w:space="0" w:color="auto"/>
            <w:right w:val="none" w:sz="0" w:space="0" w:color="auto"/>
          </w:divBdr>
        </w:div>
        <w:div w:id="229729991">
          <w:marLeft w:val="432"/>
          <w:marRight w:val="0"/>
          <w:marTop w:val="96"/>
          <w:marBottom w:val="0"/>
          <w:divBdr>
            <w:top w:val="none" w:sz="0" w:space="0" w:color="auto"/>
            <w:left w:val="none" w:sz="0" w:space="0" w:color="auto"/>
            <w:bottom w:val="none" w:sz="0" w:space="0" w:color="auto"/>
            <w:right w:val="none" w:sz="0" w:space="0" w:color="auto"/>
          </w:divBdr>
        </w:div>
        <w:div w:id="100651824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andouts/SEFA%20FY16%20Presentation.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articipant%20List.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5</cp:revision>
  <dcterms:created xsi:type="dcterms:W3CDTF">2016-07-21T13:19:00Z</dcterms:created>
  <dcterms:modified xsi:type="dcterms:W3CDTF">2016-07-21T15:00:00Z</dcterms:modified>
</cp:coreProperties>
</file>