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67CF" w14:textId="6D7A8F93" w:rsidR="0057175D" w:rsidRDefault="0057175D" w:rsidP="0057175D">
      <w:pPr>
        <w:tabs>
          <w:tab w:val="left" w:pos="-1440"/>
          <w:tab w:val="right" w:pos="9360"/>
        </w:tabs>
        <w:rPr>
          <w:sz w:val="22"/>
        </w:rPr>
      </w:pPr>
      <w:r>
        <w:rPr>
          <w:b/>
        </w:rPr>
        <w:t>INFORMATIONAL CIRCULAR NO. 20-P-</w:t>
      </w:r>
      <w:r w:rsidR="000F1F3D">
        <w:rPr>
          <w:b/>
        </w:rPr>
        <w:t>006</w:t>
      </w:r>
      <w:r>
        <w:rPr>
          <w:b/>
        </w:rPr>
        <w:tab/>
      </w:r>
      <w:r>
        <w:rPr>
          <w:b/>
          <w:sz w:val="22"/>
        </w:rPr>
        <w:t xml:space="preserve">Supersedes:  </w:t>
      </w:r>
      <w:r>
        <w:rPr>
          <w:sz w:val="22"/>
        </w:rPr>
        <w:t>18-P-001</w:t>
      </w:r>
    </w:p>
    <w:p w14:paraId="082A5E1F" w14:textId="77777777" w:rsidR="0057175D" w:rsidRDefault="0057175D" w:rsidP="0057175D">
      <w:pPr>
        <w:tabs>
          <w:tab w:val="left" w:pos="-1440"/>
        </w:tabs>
        <w:ind w:left="1440" w:hanging="1440"/>
        <w:rPr>
          <w:b/>
        </w:rPr>
      </w:pPr>
    </w:p>
    <w:p w14:paraId="5C6990B8" w14:textId="4B674179" w:rsidR="0057175D" w:rsidRDefault="0057175D" w:rsidP="0057175D">
      <w:pPr>
        <w:tabs>
          <w:tab w:val="left" w:pos="-1440"/>
        </w:tabs>
        <w:ind w:left="1440" w:hanging="1440"/>
      </w:pPr>
      <w:r>
        <w:rPr>
          <w:b/>
        </w:rPr>
        <w:t xml:space="preserve">DATE:  </w:t>
      </w:r>
      <w:r>
        <w:rPr>
          <w:b/>
        </w:rPr>
        <w:tab/>
      </w:r>
      <w:r>
        <w:rPr>
          <w:b/>
        </w:rPr>
        <w:tab/>
      </w:r>
      <w:r>
        <w:rPr>
          <w:b/>
        </w:rPr>
        <w:tab/>
      </w:r>
      <w:r>
        <w:t xml:space="preserve">August </w:t>
      </w:r>
      <w:r w:rsidR="000F1F3D">
        <w:t>8</w:t>
      </w:r>
      <w:bookmarkStart w:id="0" w:name="_GoBack"/>
      <w:bookmarkEnd w:id="0"/>
      <w:r>
        <w:t>, 2019</w:t>
      </w:r>
    </w:p>
    <w:p w14:paraId="58E1CB4B" w14:textId="77777777" w:rsidR="0057175D" w:rsidRDefault="0057175D" w:rsidP="0057175D">
      <w:pPr>
        <w:tabs>
          <w:tab w:val="left" w:pos="-1440"/>
        </w:tabs>
      </w:pPr>
    </w:p>
    <w:p w14:paraId="6940DE06" w14:textId="77777777" w:rsidR="0057175D" w:rsidRDefault="0057175D" w:rsidP="0057175D">
      <w:pPr>
        <w:tabs>
          <w:tab w:val="left" w:pos="-1440"/>
          <w:tab w:val="left" w:pos="2880"/>
        </w:tabs>
      </w:pPr>
      <w:r>
        <w:rPr>
          <w:b/>
        </w:rPr>
        <w:t>SUBJECT:</w:t>
      </w:r>
      <w:r>
        <w:tab/>
        <w:t>Change in Organization Dues Deduction Amounts</w:t>
      </w:r>
    </w:p>
    <w:p w14:paraId="78928DF4" w14:textId="77777777" w:rsidR="0057175D" w:rsidRDefault="0057175D" w:rsidP="0057175D">
      <w:pPr>
        <w:tabs>
          <w:tab w:val="left" w:pos="-1440"/>
        </w:tabs>
        <w:ind w:left="1440" w:hanging="1440"/>
      </w:pPr>
    </w:p>
    <w:p w14:paraId="295CBA8F" w14:textId="77777777" w:rsidR="0057175D" w:rsidRDefault="0057175D" w:rsidP="0057175D">
      <w:pPr>
        <w:tabs>
          <w:tab w:val="left" w:pos="-1440"/>
        </w:tabs>
        <w:ind w:left="1440" w:hanging="1440"/>
      </w:pPr>
      <w:r>
        <w:rPr>
          <w:b/>
        </w:rPr>
        <w:t xml:space="preserve">EFFECTIVE DATE: </w:t>
      </w:r>
      <w:r>
        <w:rPr>
          <w:b/>
        </w:rPr>
        <w:tab/>
      </w:r>
      <w:r>
        <w:t>Payroll Period Ending September 21, 2019</w:t>
      </w:r>
    </w:p>
    <w:p w14:paraId="656DCF99" w14:textId="77777777" w:rsidR="0057175D" w:rsidRDefault="0057175D" w:rsidP="0057175D">
      <w:pPr>
        <w:tabs>
          <w:tab w:val="left" w:pos="-1440"/>
        </w:tabs>
      </w:pPr>
    </w:p>
    <w:p w14:paraId="40C1FDA5" w14:textId="77777777" w:rsidR="0057175D" w:rsidRDefault="0057175D" w:rsidP="0057175D">
      <w:pPr>
        <w:tabs>
          <w:tab w:val="left" w:pos="-1440"/>
        </w:tabs>
      </w:pPr>
      <w:r>
        <w:rPr>
          <w:b/>
        </w:rPr>
        <w:t xml:space="preserve">OCFO CONTACT: </w:t>
      </w:r>
      <w:r>
        <w:rPr>
          <w:b/>
        </w:rPr>
        <w:tab/>
      </w:r>
      <w:r>
        <w:rPr>
          <w:b/>
        </w:rPr>
        <w:tab/>
      </w:r>
      <w:r>
        <w:t>Amanda Entress</w:t>
      </w:r>
      <w:proofErr w:type="gramStart"/>
      <w:r>
        <w:t xml:space="preserve">   (</w:t>
      </w:r>
      <w:proofErr w:type="gramEnd"/>
      <w:r>
        <w:t>785) 296-3887    (Amanda.entress@ks.gov)</w:t>
      </w:r>
    </w:p>
    <w:p w14:paraId="6D2C6D58" w14:textId="77777777" w:rsidR="0057175D" w:rsidRDefault="0057175D" w:rsidP="0057175D">
      <w:pPr>
        <w:tabs>
          <w:tab w:val="left" w:pos="-1440"/>
        </w:tabs>
      </w:pPr>
    </w:p>
    <w:p w14:paraId="5C6BB0F8" w14:textId="77777777" w:rsidR="0057175D" w:rsidRDefault="0057175D" w:rsidP="0057175D">
      <w:pPr>
        <w:tabs>
          <w:tab w:val="left" w:pos="-1440"/>
        </w:tabs>
      </w:pPr>
    </w:p>
    <w:p w14:paraId="2A70F86E" w14:textId="77777777" w:rsidR="0057175D" w:rsidRDefault="0057175D" w:rsidP="0057175D">
      <w:pPr>
        <w:tabs>
          <w:tab w:val="left" w:pos="-1440"/>
        </w:tabs>
      </w:pPr>
      <w:r>
        <w:rPr>
          <w:b/>
        </w:rPr>
        <w:t xml:space="preserve">APPROVAL: </w:t>
      </w:r>
    </w:p>
    <w:p w14:paraId="4AF761BC" w14:textId="77777777" w:rsidR="0057175D" w:rsidRDefault="0057175D" w:rsidP="0057175D">
      <w:pPr>
        <w:tabs>
          <w:tab w:val="left" w:pos="-1440"/>
        </w:tabs>
      </w:pPr>
    </w:p>
    <w:p w14:paraId="0F6D57F8" w14:textId="77777777" w:rsidR="0057175D" w:rsidRDefault="0057175D" w:rsidP="0057175D">
      <w:pPr>
        <w:tabs>
          <w:tab w:val="left" w:pos="-1440"/>
        </w:tabs>
      </w:pPr>
      <w:r>
        <w:rPr>
          <w:b/>
        </w:rPr>
        <w:t xml:space="preserve">SUMMARY: </w:t>
      </w:r>
      <w:r>
        <w:rPr>
          <w:b/>
        </w:rPr>
        <w:tab/>
      </w:r>
      <w:r>
        <w:rPr>
          <w:b/>
        </w:rPr>
        <w:tab/>
      </w:r>
      <w:r>
        <w:rPr>
          <w:b/>
        </w:rPr>
        <w:tab/>
      </w:r>
      <w:r>
        <w:t>Organization Dues Changes for KAPE</w:t>
      </w:r>
    </w:p>
    <w:p w14:paraId="70D4836E" w14:textId="77777777" w:rsidR="0057175D" w:rsidRDefault="0057175D" w:rsidP="0057175D">
      <w:pPr>
        <w:tabs>
          <w:tab w:val="left" w:pos="-144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80645</wp:posOffset>
                </wp:positionV>
                <wp:extent cx="5669280" cy="0"/>
                <wp:effectExtent l="9525" t="13970" r="1714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221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KnHQIAADcEAAAOAAAAZHJzL2Uyb0RvYy54bWysU8uu2jAU3FfqP1jZQwgNX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" o:allowincell="f" strokeweight="1.25pt"/>
            </w:pict>
          </mc:Fallback>
        </mc:AlternateContent>
      </w:r>
    </w:p>
    <w:p w14:paraId="23C317F6" w14:textId="77777777" w:rsidR="0057175D" w:rsidRDefault="0057175D" w:rsidP="0057175D">
      <w:pPr>
        <w:widowControl/>
        <w:spacing w:before="100" w:beforeAutospacing="1" w:after="100" w:afterAutospacing="1"/>
        <w:rPr>
          <w:color w:val="000000"/>
          <w:szCs w:val="24"/>
        </w:rPr>
      </w:pPr>
      <w:r>
        <w:rPr>
          <w:color w:val="000000"/>
          <w:szCs w:val="24"/>
        </w:rPr>
        <w:t>The Board of Directors for the Kansas Association of Public Employees (KAPE) has advised that changes to the regular biweekly dues for members of KAPE will be effective with the payroll period beginning September 8, 2019 and ending September 21, 2019, paid October 4, 2019 as follows:</w:t>
      </w:r>
    </w:p>
    <w:tbl>
      <w:tblPr>
        <w:tblW w:w="8610" w:type="dxa"/>
        <w:tblCellSpacing w:w="15" w:type="dxa"/>
        <w:tblLook w:val="04A0" w:firstRow="1" w:lastRow="0" w:firstColumn="1" w:lastColumn="0" w:noHBand="0" w:noVBand="1"/>
      </w:tblPr>
      <w:tblGrid>
        <w:gridCol w:w="1928"/>
        <w:gridCol w:w="2243"/>
        <w:gridCol w:w="2322"/>
        <w:gridCol w:w="2117"/>
      </w:tblGrid>
      <w:tr w:rsidR="0057175D" w14:paraId="0BC51C46" w14:textId="77777777" w:rsidTr="0057175D">
        <w:trPr>
          <w:tblCellSpacing w:w="15" w:type="dxa"/>
        </w:trPr>
        <w:tc>
          <w:tcPr>
            <w:tcW w:w="1800" w:type="dxa"/>
            <w:tcMar>
              <w:top w:w="15" w:type="dxa"/>
              <w:left w:w="15" w:type="dxa"/>
              <w:bottom w:w="15" w:type="dxa"/>
              <w:right w:w="15" w:type="dxa"/>
            </w:tcMar>
            <w:hideMark/>
          </w:tcPr>
          <w:p w14:paraId="0E7AFBBB" w14:textId="77777777" w:rsidR="0057175D" w:rsidRDefault="0057175D">
            <w:pPr>
              <w:widowControl/>
              <w:jc w:val="center"/>
              <w:rPr>
                <w:b/>
                <w:bCs/>
                <w:color w:val="000000"/>
                <w:szCs w:val="24"/>
              </w:rPr>
            </w:pPr>
            <w:r>
              <w:rPr>
                <w:b/>
                <w:bCs/>
                <w:color w:val="000000"/>
                <w:szCs w:val="24"/>
              </w:rPr>
              <w:t>Deduction Code</w:t>
            </w:r>
          </w:p>
        </w:tc>
        <w:tc>
          <w:tcPr>
            <w:tcW w:w="2115" w:type="dxa"/>
            <w:tcMar>
              <w:top w:w="15" w:type="dxa"/>
              <w:left w:w="15" w:type="dxa"/>
              <w:bottom w:w="15" w:type="dxa"/>
              <w:right w:w="15" w:type="dxa"/>
            </w:tcMar>
            <w:hideMark/>
          </w:tcPr>
          <w:p w14:paraId="1F17F3BA" w14:textId="77777777" w:rsidR="0057175D" w:rsidRDefault="0057175D">
            <w:pPr>
              <w:widowControl/>
              <w:rPr>
                <w:b/>
                <w:bCs/>
                <w:color w:val="000000"/>
                <w:szCs w:val="24"/>
              </w:rPr>
            </w:pPr>
            <w:r>
              <w:rPr>
                <w:b/>
                <w:bCs/>
                <w:color w:val="000000"/>
                <w:szCs w:val="24"/>
              </w:rPr>
              <w:t>Hourly Rate of Pay</w:t>
            </w:r>
          </w:p>
        </w:tc>
        <w:tc>
          <w:tcPr>
            <w:tcW w:w="2190" w:type="dxa"/>
            <w:tcMar>
              <w:top w:w="15" w:type="dxa"/>
              <w:left w:w="15" w:type="dxa"/>
              <w:bottom w:w="15" w:type="dxa"/>
              <w:right w:w="15" w:type="dxa"/>
            </w:tcMar>
            <w:hideMark/>
          </w:tcPr>
          <w:p w14:paraId="74EDE249" w14:textId="77777777" w:rsidR="0057175D" w:rsidRDefault="0057175D">
            <w:pPr>
              <w:widowControl/>
              <w:rPr>
                <w:b/>
                <w:bCs/>
                <w:color w:val="000000"/>
                <w:szCs w:val="24"/>
              </w:rPr>
            </w:pPr>
            <w:r>
              <w:rPr>
                <w:b/>
                <w:bCs/>
                <w:color w:val="000000"/>
                <w:szCs w:val="24"/>
              </w:rPr>
              <w:t>Bi-Weekly Salary</w:t>
            </w:r>
          </w:p>
        </w:tc>
        <w:tc>
          <w:tcPr>
            <w:tcW w:w="1980" w:type="dxa"/>
            <w:tcMar>
              <w:top w:w="15" w:type="dxa"/>
              <w:left w:w="15" w:type="dxa"/>
              <w:bottom w:w="15" w:type="dxa"/>
              <w:right w:w="15" w:type="dxa"/>
            </w:tcMar>
            <w:hideMark/>
          </w:tcPr>
          <w:p w14:paraId="650F01CE" w14:textId="77777777" w:rsidR="0057175D" w:rsidRDefault="0057175D">
            <w:pPr>
              <w:widowControl/>
              <w:jc w:val="center"/>
              <w:rPr>
                <w:b/>
                <w:bCs/>
                <w:color w:val="000000"/>
                <w:szCs w:val="24"/>
              </w:rPr>
            </w:pPr>
            <w:r>
              <w:rPr>
                <w:b/>
                <w:bCs/>
                <w:color w:val="000000"/>
                <w:szCs w:val="24"/>
              </w:rPr>
              <w:t>Dues Deduction</w:t>
            </w:r>
          </w:p>
        </w:tc>
      </w:tr>
      <w:tr w:rsidR="0057175D" w14:paraId="0A7911EF" w14:textId="77777777" w:rsidTr="0057175D">
        <w:trPr>
          <w:tblCellSpacing w:w="15" w:type="dxa"/>
        </w:trPr>
        <w:tc>
          <w:tcPr>
            <w:tcW w:w="0" w:type="auto"/>
            <w:tcMar>
              <w:top w:w="15" w:type="dxa"/>
              <w:left w:w="15" w:type="dxa"/>
              <w:bottom w:w="15" w:type="dxa"/>
              <w:right w:w="15" w:type="dxa"/>
            </w:tcMar>
            <w:hideMark/>
          </w:tcPr>
          <w:p w14:paraId="23DA5424" w14:textId="77777777" w:rsidR="0057175D" w:rsidRDefault="0057175D">
            <w:pPr>
              <w:widowControl/>
              <w:jc w:val="center"/>
              <w:rPr>
                <w:color w:val="000000"/>
                <w:szCs w:val="24"/>
              </w:rPr>
            </w:pPr>
            <w:r>
              <w:rPr>
                <w:color w:val="000000"/>
                <w:szCs w:val="24"/>
              </w:rPr>
              <w:t>ORG001</w:t>
            </w:r>
          </w:p>
        </w:tc>
        <w:tc>
          <w:tcPr>
            <w:tcW w:w="0" w:type="auto"/>
            <w:tcMar>
              <w:top w:w="15" w:type="dxa"/>
              <w:left w:w="15" w:type="dxa"/>
              <w:bottom w:w="15" w:type="dxa"/>
              <w:right w:w="15" w:type="dxa"/>
            </w:tcMar>
            <w:hideMark/>
          </w:tcPr>
          <w:p w14:paraId="09DAB116" w14:textId="77777777" w:rsidR="0057175D" w:rsidRDefault="0057175D">
            <w:pPr>
              <w:widowControl/>
              <w:rPr>
                <w:color w:val="000000"/>
                <w:szCs w:val="24"/>
              </w:rPr>
            </w:pPr>
            <w:r>
              <w:rPr>
                <w:color w:val="000000"/>
                <w:szCs w:val="24"/>
              </w:rPr>
              <w:t>$ 13.99 or Less</w:t>
            </w:r>
          </w:p>
        </w:tc>
        <w:tc>
          <w:tcPr>
            <w:tcW w:w="0" w:type="auto"/>
            <w:tcMar>
              <w:top w:w="15" w:type="dxa"/>
              <w:left w:w="15" w:type="dxa"/>
              <w:bottom w:w="15" w:type="dxa"/>
              <w:right w:w="15" w:type="dxa"/>
            </w:tcMar>
            <w:hideMark/>
          </w:tcPr>
          <w:p w14:paraId="25C861D3" w14:textId="77777777" w:rsidR="0057175D" w:rsidRDefault="0057175D">
            <w:pPr>
              <w:widowControl/>
              <w:rPr>
                <w:color w:val="000000"/>
                <w:szCs w:val="24"/>
              </w:rPr>
            </w:pPr>
            <w:r>
              <w:rPr>
                <w:color w:val="000000"/>
                <w:szCs w:val="24"/>
              </w:rPr>
              <w:t>$ 1,119.20 or Less</w:t>
            </w:r>
          </w:p>
        </w:tc>
        <w:tc>
          <w:tcPr>
            <w:tcW w:w="0" w:type="auto"/>
            <w:tcMar>
              <w:top w:w="15" w:type="dxa"/>
              <w:left w:w="15" w:type="dxa"/>
              <w:bottom w:w="15" w:type="dxa"/>
              <w:right w:w="15" w:type="dxa"/>
            </w:tcMar>
            <w:hideMark/>
          </w:tcPr>
          <w:p w14:paraId="135DA469" w14:textId="77777777" w:rsidR="0057175D" w:rsidRDefault="0057175D">
            <w:pPr>
              <w:widowControl/>
              <w:jc w:val="center"/>
              <w:rPr>
                <w:color w:val="000000"/>
                <w:szCs w:val="24"/>
              </w:rPr>
            </w:pPr>
            <w:r>
              <w:rPr>
                <w:color w:val="000000"/>
                <w:szCs w:val="24"/>
              </w:rPr>
              <w:t>$13.02</w:t>
            </w:r>
          </w:p>
        </w:tc>
      </w:tr>
      <w:tr w:rsidR="0057175D" w14:paraId="476DDE48" w14:textId="77777777" w:rsidTr="0057175D">
        <w:trPr>
          <w:tblCellSpacing w:w="15" w:type="dxa"/>
        </w:trPr>
        <w:tc>
          <w:tcPr>
            <w:tcW w:w="0" w:type="auto"/>
            <w:tcMar>
              <w:top w:w="15" w:type="dxa"/>
              <w:left w:w="15" w:type="dxa"/>
              <w:bottom w:w="15" w:type="dxa"/>
              <w:right w:w="15" w:type="dxa"/>
            </w:tcMar>
            <w:hideMark/>
          </w:tcPr>
          <w:p w14:paraId="61B1C3BB" w14:textId="77777777" w:rsidR="0057175D" w:rsidRDefault="0057175D">
            <w:pPr>
              <w:widowControl/>
              <w:jc w:val="center"/>
              <w:rPr>
                <w:color w:val="000000"/>
                <w:szCs w:val="24"/>
              </w:rPr>
            </w:pPr>
            <w:r>
              <w:rPr>
                <w:color w:val="000000"/>
                <w:szCs w:val="24"/>
              </w:rPr>
              <w:t>ORG002</w:t>
            </w:r>
          </w:p>
        </w:tc>
        <w:tc>
          <w:tcPr>
            <w:tcW w:w="0" w:type="auto"/>
            <w:tcMar>
              <w:top w:w="15" w:type="dxa"/>
              <w:left w:w="15" w:type="dxa"/>
              <w:bottom w:w="15" w:type="dxa"/>
              <w:right w:w="15" w:type="dxa"/>
            </w:tcMar>
            <w:hideMark/>
          </w:tcPr>
          <w:p w14:paraId="7BAEC8D4" w14:textId="77777777" w:rsidR="0057175D" w:rsidRDefault="0057175D">
            <w:pPr>
              <w:widowControl/>
              <w:rPr>
                <w:color w:val="000000"/>
                <w:szCs w:val="24"/>
              </w:rPr>
            </w:pPr>
            <w:r>
              <w:rPr>
                <w:color w:val="000000"/>
                <w:szCs w:val="24"/>
              </w:rPr>
              <w:t>$ 14.00 – 14.99</w:t>
            </w:r>
          </w:p>
        </w:tc>
        <w:tc>
          <w:tcPr>
            <w:tcW w:w="0" w:type="auto"/>
            <w:tcMar>
              <w:top w:w="15" w:type="dxa"/>
              <w:left w:w="15" w:type="dxa"/>
              <w:bottom w:w="15" w:type="dxa"/>
              <w:right w:w="15" w:type="dxa"/>
            </w:tcMar>
            <w:hideMark/>
          </w:tcPr>
          <w:p w14:paraId="7B5B5C6E" w14:textId="77777777" w:rsidR="0057175D" w:rsidRDefault="0057175D">
            <w:pPr>
              <w:widowControl/>
              <w:rPr>
                <w:color w:val="000000"/>
                <w:szCs w:val="24"/>
              </w:rPr>
            </w:pPr>
            <w:r>
              <w:rPr>
                <w:color w:val="000000"/>
                <w:szCs w:val="24"/>
              </w:rPr>
              <w:t>$ 1,119.21 – 1,199.20</w:t>
            </w:r>
          </w:p>
        </w:tc>
        <w:tc>
          <w:tcPr>
            <w:tcW w:w="0" w:type="auto"/>
            <w:tcMar>
              <w:top w:w="15" w:type="dxa"/>
              <w:left w:w="15" w:type="dxa"/>
              <w:bottom w:w="15" w:type="dxa"/>
              <w:right w:w="15" w:type="dxa"/>
            </w:tcMar>
            <w:hideMark/>
          </w:tcPr>
          <w:p w14:paraId="7AF5EC0E" w14:textId="77777777" w:rsidR="0057175D" w:rsidRDefault="0057175D">
            <w:pPr>
              <w:widowControl/>
              <w:jc w:val="center"/>
              <w:rPr>
                <w:color w:val="000000"/>
                <w:szCs w:val="24"/>
              </w:rPr>
            </w:pPr>
            <w:r>
              <w:rPr>
                <w:color w:val="000000"/>
                <w:szCs w:val="24"/>
              </w:rPr>
              <w:t>$13.81</w:t>
            </w:r>
          </w:p>
        </w:tc>
      </w:tr>
      <w:tr w:rsidR="0057175D" w14:paraId="5F88F6A7" w14:textId="77777777" w:rsidTr="0057175D">
        <w:trPr>
          <w:tblCellSpacing w:w="15" w:type="dxa"/>
        </w:trPr>
        <w:tc>
          <w:tcPr>
            <w:tcW w:w="0" w:type="auto"/>
            <w:tcMar>
              <w:top w:w="15" w:type="dxa"/>
              <w:left w:w="15" w:type="dxa"/>
              <w:bottom w:w="15" w:type="dxa"/>
              <w:right w:w="15" w:type="dxa"/>
            </w:tcMar>
            <w:hideMark/>
          </w:tcPr>
          <w:p w14:paraId="5CF53A1C" w14:textId="77777777" w:rsidR="0057175D" w:rsidRDefault="0057175D">
            <w:pPr>
              <w:widowControl/>
              <w:jc w:val="center"/>
              <w:rPr>
                <w:color w:val="000000"/>
                <w:szCs w:val="24"/>
              </w:rPr>
            </w:pPr>
            <w:r>
              <w:rPr>
                <w:color w:val="000000"/>
                <w:szCs w:val="24"/>
              </w:rPr>
              <w:t>ORG003</w:t>
            </w:r>
          </w:p>
        </w:tc>
        <w:tc>
          <w:tcPr>
            <w:tcW w:w="0" w:type="auto"/>
            <w:tcMar>
              <w:top w:w="15" w:type="dxa"/>
              <w:left w:w="15" w:type="dxa"/>
              <w:bottom w:w="15" w:type="dxa"/>
              <w:right w:w="15" w:type="dxa"/>
            </w:tcMar>
            <w:hideMark/>
          </w:tcPr>
          <w:p w14:paraId="46C328BA" w14:textId="77777777" w:rsidR="0057175D" w:rsidRDefault="0057175D">
            <w:pPr>
              <w:widowControl/>
              <w:rPr>
                <w:color w:val="000000"/>
                <w:szCs w:val="24"/>
              </w:rPr>
            </w:pPr>
            <w:r>
              <w:rPr>
                <w:color w:val="000000"/>
                <w:szCs w:val="24"/>
              </w:rPr>
              <w:t>$ 15.00 – 15.99</w:t>
            </w:r>
          </w:p>
        </w:tc>
        <w:tc>
          <w:tcPr>
            <w:tcW w:w="0" w:type="auto"/>
            <w:tcMar>
              <w:top w:w="15" w:type="dxa"/>
              <w:left w:w="15" w:type="dxa"/>
              <w:bottom w:w="15" w:type="dxa"/>
              <w:right w:w="15" w:type="dxa"/>
            </w:tcMar>
            <w:hideMark/>
          </w:tcPr>
          <w:p w14:paraId="47FE3845" w14:textId="77777777" w:rsidR="0057175D" w:rsidRDefault="0057175D">
            <w:pPr>
              <w:widowControl/>
              <w:rPr>
                <w:color w:val="000000"/>
                <w:szCs w:val="24"/>
              </w:rPr>
            </w:pPr>
            <w:r>
              <w:rPr>
                <w:color w:val="000000"/>
                <w:szCs w:val="24"/>
              </w:rPr>
              <w:t>$ 1,199.21 – 1,279.20</w:t>
            </w:r>
          </w:p>
        </w:tc>
        <w:tc>
          <w:tcPr>
            <w:tcW w:w="0" w:type="auto"/>
            <w:tcMar>
              <w:top w:w="15" w:type="dxa"/>
              <w:left w:w="15" w:type="dxa"/>
              <w:bottom w:w="15" w:type="dxa"/>
              <w:right w:w="15" w:type="dxa"/>
            </w:tcMar>
            <w:hideMark/>
          </w:tcPr>
          <w:p w14:paraId="7EC17A97" w14:textId="77777777" w:rsidR="0057175D" w:rsidRDefault="0057175D">
            <w:pPr>
              <w:widowControl/>
              <w:jc w:val="center"/>
              <w:rPr>
                <w:color w:val="000000"/>
                <w:szCs w:val="24"/>
              </w:rPr>
            </w:pPr>
            <w:r>
              <w:rPr>
                <w:color w:val="000000"/>
                <w:szCs w:val="24"/>
              </w:rPr>
              <w:t>$14.85</w:t>
            </w:r>
          </w:p>
        </w:tc>
      </w:tr>
      <w:tr w:rsidR="0057175D" w14:paraId="7EA360C4" w14:textId="77777777" w:rsidTr="0057175D">
        <w:trPr>
          <w:tblCellSpacing w:w="15" w:type="dxa"/>
        </w:trPr>
        <w:tc>
          <w:tcPr>
            <w:tcW w:w="0" w:type="auto"/>
            <w:tcMar>
              <w:top w:w="15" w:type="dxa"/>
              <w:left w:w="15" w:type="dxa"/>
              <w:bottom w:w="15" w:type="dxa"/>
              <w:right w:w="15" w:type="dxa"/>
            </w:tcMar>
            <w:hideMark/>
          </w:tcPr>
          <w:p w14:paraId="246B51FE" w14:textId="77777777" w:rsidR="0057175D" w:rsidRDefault="0057175D">
            <w:pPr>
              <w:widowControl/>
              <w:jc w:val="center"/>
              <w:rPr>
                <w:color w:val="000000"/>
                <w:szCs w:val="24"/>
              </w:rPr>
            </w:pPr>
            <w:r>
              <w:rPr>
                <w:color w:val="000000"/>
                <w:szCs w:val="24"/>
              </w:rPr>
              <w:t>ORG004</w:t>
            </w:r>
          </w:p>
        </w:tc>
        <w:tc>
          <w:tcPr>
            <w:tcW w:w="0" w:type="auto"/>
            <w:tcMar>
              <w:top w:w="15" w:type="dxa"/>
              <w:left w:w="15" w:type="dxa"/>
              <w:bottom w:w="15" w:type="dxa"/>
              <w:right w:w="15" w:type="dxa"/>
            </w:tcMar>
            <w:hideMark/>
          </w:tcPr>
          <w:p w14:paraId="44353146" w14:textId="77777777" w:rsidR="0057175D" w:rsidRDefault="0057175D">
            <w:pPr>
              <w:widowControl/>
              <w:rPr>
                <w:color w:val="000000"/>
                <w:szCs w:val="24"/>
              </w:rPr>
            </w:pPr>
            <w:r>
              <w:rPr>
                <w:color w:val="000000"/>
                <w:szCs w:val="24"/>
              </w:rPr>
              <w:t>$ 16.00 – 16.99</w:t>
            </w:r>
          </w:p>
        </w:tc>
        <w:tc>
          <w:tcPr>
            <w:tcW w:w="0" w:type="auto"/>
            <w:tcMar>
              <w:top w:w="15" w:type="dxa"/>
              <w:left w:w="15" w:type="dxa"/>
              <w:bottom w:w="15" w:type="dxa"/>
              <w:right w:w="15" w:type="dxa"/>
            </w:tcMar>
            <w:hideMark/>
          </w:tcPr>
          <w:p w14:paraId="47B02684" w14:textId="77777777" w:rsidR="0057175D" w:rsidRDefault="0057175D">
            <w:pPr>
              <w:widowControl/>
              <w:rPr>
                <w:color w:val="000000"/>
                <w:szCs w:val="24"/>
              </w:rPr>
            </w:pPr>
            <w:r>
              <w:rPr>
                <w:color w:val="000000"/>
                <w:szCs w:val="24"/>
              </w:rPr>
              <w:t>$ 1,279.21 – 1,359.20</w:t>
            </w:r>
          </w:p>
        </w:tc>
        <w:tc>
          <w:tcPr>
            <w:tcW w:w="0" w:type="auto"/>
            <w:tcMar>
              <w:top w:w="15" w:type="dxa"/>
              <w:left w:w="15" w:type="dxa"/>
              <w:bottom w:w="15" w:type="dxa"/>
              <w:right w:w="15" w:type="dxa"/>
            </w:tcMar>
            <w:hideMark/>
          </w:tcPr>
          <w:p w14:paraId="4BC278DC" w14:textId="77777777" w:rsidR="0057175D" w:rsidRDefault="0057175D">
            <w:pPr>
              <w:widowControl/>
              <w:jc w:val="center"/>
              <w:rPr>
                <w:color w:val="000000"/>
                <w:szCs w:val="24"/>
              </w:rPr>
            </w:pPr>
            <w:r>
              <w:rPr>
                <w:color w:val="000000"/>
                <w:szCs w:val="24"/>
              </w:rPr>
              <w:t>$18.64</w:t>
            </w:r>
          </w:p>
        </w:tc>
      </w:tr>
      <w:tr w:rsidR="0057175D" w14:paraId="188915E9" w14:textId="77777777" w:rsidTr="0057175D">
        <w:trPr>
          <w:tblCellSpacing w:w="15" w:type="dxa"/>
        </w:trPr>
        <w:tc>
          <w:tcPr>
            <w:tcW w:w="0" w:type="auto"/>
            <w:tcMar>
              <w:top w:w="15" w:type="dxa"/>
              <w:left w:w="15" w:type="dxa"/>
              <w:bottom w:w="15" w:type="dxa"/>
              <w:right w:w="15" w:type="dxa"/>
            </w:tcMar>
            <w:hideMark/>
          </w:tcPr>
          <w:p w14:paraId="5CC43F08" w14:textId="77777777" w:rsidR="0057175D" w:rsidRDefault="0057175D">
            <w:pPr>
              <w:widowControl/>
              <w:jc w:val="center"/>
              <w:rPr>
                <w:color w:val="000000"/>
                <w:szCs w:val="24"/>
              </w:rPr>
            </w:pPr>
            <w:r>
              <w:rPr>
                <w:color w:val="000000"/>
                <w:szCs w:val="24"/>
              </w:rPr>
              <w:t>ORG005</w:t>
            </w:r>
          </w:p>
        </w:tc>
        <w:tc>
          <w:tcPr>
            <w:tcW w:w="0" w:type="auto"/>
            <w:tcMar>
              <w:top w:w="15" w:type="dxa"/>
              <w:left w:w="15" w:type="dxa"/>
              <w:bottom w:w="15" w:type="dxa"/>
              <w:right w:w="15" w:type="dxa"/>
            </w:tcMar>
            <w:hideMark/>
          </w:tcPr>
          <w:p w14:paraId="6FB2EB3F" w14:textId="77777777" w:rsidR="0057175D" w:rsidRDefault="0057175D">
            <w:pPr>
              <w:widowControl/>
              <w:rPr>
                <w:color w:val="000000"/>
                <w:szCs w:val="24"/>
              </w:rPr>
            </w:pPr>
            <w:r>
              <w:rPr>
                <w:color w:val="000000"/>
                <w:szCs w:val="24"/>
              </w:rPr>
              <w:t>$ 17.00 – 17.99</w:t>
            </w:r>
          </w:p>
        </w:tc>
        <w:tc>
          <w:tcPr>
            <w:tcW w:w="0" w:type="auto"/>
            <w:tcMar>
              <w:top w:w="15" w:type="dxa"/>
              <w:left w:w="15" w:type="dxa"/>
              <w:bottom w:w="15" w:type="dxa"/>
              <w:right w:w="15" w:type="dxa"/>
            </w:tcMar>
            <w:hideMark/>
          </w:tcPr>
          <w:p w14:paraId="3DF7CBD2" w14:textId="77777777" w:rsidR="0057175D" w:rsidRDefault="0057175D">
            <w:pPr>
              <w:widowControl/>
              <w:rPr>
                <w:color w:val="000000"/>
                <w:szCs w:val="24"/>
              </w:rPr>
            </w:pPr>
            <w:r>
              <w:rPr>
                <w:color w:val="000000"/>
                <w:szCs w:val="24"/>
              </w:rPr>
              <w:t>$ 1,359.21 – 1,439.20</w:t>
            </w:r>
          </w:p>
        </w:tc>
        <w:tc>
          <w:tcPr>
            <w:tcW w:w="0" w:type="auto"/>
            <w:tcMar>
              <w:top w:w="15" w:type="dxa"/>
              <w:left w:w="15" w:type="dxa"/>
              <w:bottom w:w="15" w:type="dxa"/>
              <w:right w:w="15" w:type="dxa"/>
            </w:tcMar>
            <w:hideMark/>
          </w:tcPr>
          <w:p w14:paraId="6652FB8C" w14:textId="77777777" w:rsidR="0057175D" w:rsidRDefault="0057175D">
            <w:pPr>
              <w:widowControl/>
              <w:jc w:val="center"/>
              <w:rPr>
                <w:color w:val="000000"/>
                <w:szCs w:val="24"/>
              </w:rPr>
            </w:pPr>
            <w:r>
              <w:rPr>
                <w:color w:val="000000"/>
                <w:szCs w:val="24"/>
              </w:rPr>
              <w:t>$19.74</w:t>
            </w:r>
          </w:p>
        </w:tc>
      </w:tr>
      <w:tr w:rsidR="0057175D" w14:paraId="62A75822" w14:textId="77777777" w:rsidTr="0057175D">
        <w:trPr>
          <w:tblCellSpacing w:w="15" w:type="dxa"/>
        </w:trPr>
        <w:tc>
          <w:tcPr>
            <w:tcW w:w="0" w:type="auto"/>
            <w:tcMar>
              <w:top w:w="15" w:type="dxa"/>
              <w:left w:w="15" w:type="dxa"/>
              <w:bottom w:w="15" w:type="dxa"/>
              <w:right w:w="15" w:type="dxa"/>
            </w:tcMar>
            <w:hideMark/>
          </w:tcPr>
          <w:p w14:paraId="5E1A3C46" w14:textId="77777777" w:rsidR="0057175D" w:rsidRDefault="0057175D">
            <w:pPr>
              <w:widowControl/>
              <w:jc w:val="center"/>
              <w:rPr>
                <w:color w:val="000000"/>
                <w:szCs w:val="24"/>
              </w:rPr>
            </w:pPr>
            <w:r>
              <w:rPr>
                <w:color w:val="000000"/>
                <w:szCs w:val="24"/>
              </w:rPr>
              <w:t>ORG006</w:t>
            </w:r>
          </w:p>
        </w:tc>
        <w:tc>
          <w:tcPr>
            <w:tcW w:w="0" w:type="auto"/>
            <w:tcMar>
              <w:top w:w="15" w:type="dxa"/>
              <w:left w:w="15" w:type="dxa"/>
              <w:bottom w:w="15" w:type="dxa"/>
              <w:right w:w="15" w:type="dxa"/>
            </w:tcMar>
            <w:hideMark/>
          </w:tcPr>
          <w:p w14:paraId="2F871ED9" w14:textId="77777777" w:rsidR="0057175D" w:rsidRDefault="0057175D">
            <w:pPr>
              <w:widowControl/>
              <w:rPr>
                <w:color w:val="000000"/>
                <w:szCs w:val="24"/>
              </w:rPr>
            </w:pPr>
            <w:r>
              <w:rPr>
                <w:color w:val="000000"/>
                <w:szCs w:val="24"/>
              </w:rPr>
              <w:t>$ 18.00 or Greater</w:t>
            </w:r>
          </w:p>
        </w:tc>
        <w:tc>
          <w:tcPr>
            <w:tcW w:w="0" w:type="auto"/>
            <w:tcMar>
              <w:top w:w="15" w:type="dxa"/>
              <w:left w:w="15" w:type="dxa"/>
              <w:bottom w:w="15" w:type="dxa"/>
              <w:right w:w="15" w:type="dxa"/>
            </w:tcMar>
            <w:hideMark/>
          </w:tcPr>
          <w:p w14:paraId="6DB7475E" w14:textId="77777777" w:rsidR="0057175D" w:rsidRDefault="0057175D">
            <w:pPr>
              <w:widowControl/>
              <w:rPr>
                <w:color w:val="000000"/>
                <w:szCs w:val="24"/>
              </w:rPr>
            </w:pPr>
            <w:r>
              <w:rPr>
                <w:color w:val="000000"/>
                <w:szCs w:val="24"/>
              </w:rPr>
              <w:t>$ 1,439.21 or Greater</w:t>
            </w:r>
          </w:p>
        </w:tc>
        <w:tc>
          <w:tcPr>
            <w:tcW w:w="0" w:type="auto"/>
            <w:tcMar>
              <w:top w:w="15" w:type="dxa"/>
              <w:left w:w="15" w:type="dxa"/>
              <w:bottom w:w="15" w:type="dxa"/>
              <w:right w:w="15" w:type="dxa"/>
            </w:tcMar>
            <w:hideMark/>
          </w:tcPr>
          <w:p w14:paraId="2B39C781" w14:textId="77777777" w:rsidR="0057175D" w:rsidRDefault="0057175D">
            <w:pPr>
              <w:widowControl/>
              <w:jc w:val="center"/>
              <w:rPr>
                <w:color w:val="000000"/>
                <w:szCs w:val="24"/>
              </w:rPr>
            </w:pPr>
            <w:r>
              <w:rPr>
                <w:color w:val="000000"/>
                <w:szCs w:val="24"/>
              </w:rPr>
              <w:t>$20.83</w:t>
            </w:r>
          </w:p>
        </w:tc>
      </w:tr>
    </w:tbl>
    <w:p w14:paraId="48ECFA00" w14:textId="77777777" w:rsidR="0057175D" w:rsidRDefault="0057175D" w:rsidP="0057175D">
      <w:pPr>
        <w:widowControl/>
        <w:rPr>
          <w:color w:val="000000"/>
          <w:szCs w:val="24"/>
        </w:rPr>
      </w:pPr>
    </w:p>
    <w:p w14:paraId="463FB02F" w14:textId="77777777" w:rsidR="0057175D" w:rsidRDefault="0057175D" w:rsidP="0057175D">
      <w:pPr>
        <w:pStyle w:val="NormalWeb"/>
        <w:rPr>
          <w:color w:val="000000"/>
        </w:rPr>
      </w:pPr>
      <w:r>
        <w:rPr>
          <w:color w:val="000000"/>
        </w:rPr>
        <w:t>As a reminder, the service fee will remain $0.06 per biweekly payroll period. Therefore, the amounts listed above include the deduction amount (ORG001-006 deduction codes) and the $0.06 service fee (ORF001-006 deduction codes) added together.</w:t>
      </w:r>
    </w:p>
    <w:p w14:paraId="1456E148" w14:textId="77777777" w:rsidR="0057175D" w:rsidRDefault="0057175D" w:rsidP="0057175D">
      <w:pPr>
        <w:widowControl/>
        <w:spacing w:before="100" w:beforeAutospacing="1" w:after="100" w:afterAutospacing="1"/>
        <w:rPr>
          <w:color w:val="000000"/>
          <w:szCs w:val="24"/>
        </w:rPr>
      </w:pPr>
      <w:r>
        <w:rPr>
          <w:color w:val="000000"/>
          <w:szCs w:val="24"/>
        </w:rPr>
        <w:t>The Office of the Chief Financial Officer, Payroll Systems Team will make the necessary updates to the payroll system to affect all SH</w:t>
      </w:r>
      <w:r>
        <w:rPr>
          <w:color w:val="000000"/>
          <w:sz w:val="22"/>
          <w:szCs w:val="24"/>
        </w:rPr>
        <w:t>A</w:t>
      </w:r>
      <w:r>
        <w:rPr>
          <w:color w:val="000000"/>
          <w:szCs w:val="24"/>
        </w:rPr>
        <w:t xml:space="preserve">RP employees enrolled in the above KAPE dues deductions. </w:t>
      </w:r>
      <w:r>
        <w:t>Regent’s institutions are responsible for ensuring that these changes are made in their respective systems effective with the payroll period noted above.</w:t>
      </w:r>
    </w:p>
    <w:p w14:paraId="640D3157" w14:textId="77777777" w:rsidR="0057175D" w:rsidRDefault="0057175D" w:rsidP="0057175D">
      <w:pPr>
        <w:widowControl/>
        <w:spacing w:before="100" w:beforeAutospacing="1" w:after="100" w:afterAutospacing="1"/>
        <w:rPr>
          <w:color w:val="000000"/>
          <w:szCs w:val="24"/>
        </w:rPr>
      </w:pPr>
      <w:r>
        <w:rPr>
          <w:color w:val="000000"/>
          <w:szCs w:val="24"/>
        </w:rPr>
        <w:t>NTR:ckw</w:t>
      </w:r>
    </w:p>
    <w:p w14:paraId="692ABA8F" w14:textId="77777777" w:rsidR="0057175D" w:rsidRDefault="0057175D" w:rsidP="0057175D">
      <w:pPr>
        <w:tabs>
          <w:tab w:val="left" w:pos="-1440"/>
        </w:tabs>
        <w:jc w:val="both"/>
      </w:pPr>
    </w:p>
    <w:p w14:paraId="2743E5A1" w14:textId="77777777" w:rsidR="0057175D" w:rsidRDefault="0057175D" w:rsidP="0057175D">
      <w:pPr>
        <w:tabs>
          <w:tab w:val="left" w:pos="-1440"/>
        </w:tabs>
      </w:pPr>
    </w:p>
    <w:p w14:paraId="72CD179E" w14:textId="77777777" w:rsidR="00FB0398" w:rsidRDefault="00FB0398"/>
    <w:sectPr w:rsidR="00FB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5D"/>
    <w:rsid w:val="000F1F3D"/>
    <w:rsid w:val="0057175D"/>
    <w:rsid w:val="00FB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8A9"/>
  <w15:chartTrackingRefBased/>
  <w15:docId w15:val="{3CB00612-185B-4E22-BBEE-87AD8473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75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5D"/>
    <w:pPr>
      <w:widowControl/>
      <w:snapToGri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7685E22CC8446852922F25B875F15" ma:contentTypeVersion="2" ma:contentTypeDescription="Create a new document." ma:contentTypeScope="" ma:versionID="a580607893a24f4bc915d0e765bddf22">
  <xsd:schema xmlns:xsd="http://www.w3.org/2001/XMLSchema" xmlns:xs="http://www.w3.org/2001/XMLSchema" xmlns:p="http://schemas.microsoft.com/office/2006/metadata/properties" xmlns:ns2="f5b41db2-1892-43e3-bc34-cb395ebe8feb" targetNamespace="http://schemas.microsoft.com/office/2006/metadata/properties" ma:root="true" ma:fieldsID="d260470e502ffaa23328daa8523c189f" ns2:_="">
    <xsd:import namespace="f5b41db2-1892-43e3-bc34-cb395ebe8f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41db2-1892-43e3-bc34-cb395ebe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BC1AF-D5C4-4549-8B2A-5B716F6D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41db2-1892-43e3-bc34-cb395ebe8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28E3F-D3B5-4DEC-8253-EB510A9713E0}">
  <ds:schemaRefs>
    <ds:schemaRef ds:uri="http://schemas.microsoft.com/office/2006/documentManagement/types"/>
    <ds:schemaRef ds:uri="http://schemas.microsoft.com/office/2006/metadata/properties"/>
    <ds:schemaRef ds:uri="http://purl.org/dc/terms/"/>
    <ds:schemaRef ds:uri="f5b41db2-1892-43e3-bc34-cb395ebe8feb"/>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F6A2611-B75F-421B-B317-451053B53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Entress, Amanda [DASM]</dc:creator>
  <cp:keywords/>
  <dc:description/>
  <cp:lastModifiedBy>Entress, Amanda [DASM]</cp:lastModifiedBy>
  <cp:revision>2</cp:revision>
  <dcterms:created xsi:type="dcterms:W3CDTF">2019-08-08T19:24:00Z</dcterms:created>
  <dcterms:modified xsi:type="dcterms:W3CDTF">2019-08-08T19:24:00Z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0x01010018F7685E22CC8446852922F25B875F15</vt:lpwstr>
  </property>
</Properties>
</file>