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5" w:rsidRDefault="00D376A5">
      <w:pPr>
        <w:tabs>
          <w:tab w:val="left" w:pos="-1440"/>
        </w:tabs>
        <w:jc w:val="center"/>
      </w:pPr>
    </w:p>
    <w:p w:rsidR="002F645F" w:rsidRDefault="00D376A5" w:rsidP="002F645F">
      <w:pPr>
        <w:tabs>
          <w:tab w:val="left" w:pos="-1440"/>
        </w:tabs>
      </w:pPr>
      <w:r>
        <w:rPr>
          <w:b/>
        </w:rPr>
        <w:t>INFORMATIONAL CIRCULAR NO.:</w:t>
      </w:r>
      <w:r>
        <w:rPr>
          <w:b/>
        </w:rPr>
        <w:tab/>
      </w:r>
      <w:r w:rsidR="004368D7">
        <w:t>17</w:t>
      </w:r>
      <w:r w:rsidR="006A3A46">
        <w:t>-P-</w:t>
      </w:r>
      <w:r w:rsidR="00364305">
        <w:t>004</w:t>
      </w:r>
      <w:r>
        <w:t xml:space="preserve">                   </w:t>
      </w:r>
    </w:p>
    <w:p w:rsidR="002F645F" w:rsidRDefault="002F645F" w:rsidP="002F645F">
      <w:pPr>
        <w:tabs>
          <w:tab w:val="left" w:pos="-1440"/>
        </w:tabs>
        <w:rPr>
          <w:b/>
        </w:rPr>
      </w:pPr>
    </w:p>
    <w:p w:rsidR="00D376A5" w:rsidRDefault="00D376A5">
      <w:pPr>
        <w:tabs>
          <w:tab w:val="left" w:pos="-1440"/>
        </w:tabs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</w:t>
      </w:r>
    </w:p>
    <w:p w:rsidR="00D376A5" w:rsidRDefault="00D376A5">
      <w:pPr>
        <w:tabs>
          <w:tab w:val="left" w:pos="-1440"/>
        </w:tabs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68D7">
        <w:t xml:space="preserve">September </w:t>
      </w:r>
      <w:r w:rsidR="00364305">
        <w:t>7,</w:t>
      </w:r>
      <w:r w:rsidR="004368D7">
        <w:t xml:space="preserve"> 2016</w:t>
      </w:r>
    </w:p>
    <w:p w:rsidR="00D376A5" w:rsidRDefault="00D376A5">
      <w:pPr>
        <w:tabs>
          <w:tab w:val="left" w:pos="-1440"/>
        </w:tabs>
      </w:pPr>
    </w:p>
    <w:p w:rsidR="00D376A5" w:rsidRDefault="00D376A5">
      <w:pPr>
        <w:tabs>
          <w:tab w:val="left" w:pos="-1440"/>
        </w:tabs>
        <w:ind w:left="2880" w:hanging="2880"/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645F">
        <w:t xml:space="preserve">New </w:t>
      </w:r>
      <w:r w:rsidR="00C964B6">
        <w:t xml:space="preserve">Benefit </w:t>
      </w:r>
      <w:r w:rsidR="00E02567">
        <w:t>Plan Type/</w:t>
      </w:r>
      <w:r w:rsidR="004368D7">
        <w:t>Benefit Plans/Deduction Code for Deferred Compensation</w:t>
      </w:r>
      <w:r w:rsidR="00C964B6">
        <w:t>-Roth Option</w:t>
      </w:r>
      <w:r w:rsidR="004368D7">
        <w:t xml:space="preserve"> </w:t>
      </w:r>
    </w:p>
    <w:p w:rsidR="00D376A5" w:rsidRDefault="00D376A5">
      <w:pPr>
        <w:tabs>
          <w:tab w:val="left" w:pos="-1440"/>
        </w:tabs>
        <w:ind w:left="1440" w:hanging="1440"/>
      </w:pPr>
      <w:r>
        <w:tab/>
      </w:r>
      <w:r>
        <w:tab/>
      </w:r>
      <w:r>
        <w:tab/>
      </w:r>
    </w:p>
    <w:p w:rsidR="00D376A5" w:rsidRDefault="00D376A5">
      <w:pPr>
        <w:tabs>
          <w:tab w:val="left" w:pos="-1440"/>
        </w:tabs>
        <w:ind w:left="2880" w:hanging="2880"/>
      </w:pPr>
      <w:r>
        <w:rPr>
          <w:b/>
        </w:rPr>
        <w:t>EFFECTIVE DATE:</w:t>
      </w:r>
      <w:r>
        <w:rPr>
          <w:b/>
        </w:rPr>
        <w:tab/>
      </w:r>
      <w:r w:rsidR="004368D7">
        <w:t xml:space="preserve">January </w:t>
      </w:r>
      <w:r w:rsidR="002F645F">
        <w:t>1, 20</w:t>
      </w:r>
      <w:r w:rsidR="004368D7">
        <w:t>17</w:t>
      </w:r>
      <w:r>
        <w:rPr>
          <w:b/>
        </w:rPr>
        <w:tab/>
      </w:r>
    </w:p>
    <w:p w:rsidR="00D376A5" w:rsidRDefault="00D376A5">
      <w:pPr>
        <w:tabs>
          <w:tab w:val="left" w:pos="-1440"/>
        </w:tabs>
      </w:pPr>
    </w:p>
    <w:p w:rsidR="00D376A5" w:rsidRDefault="004368D7">
      <w:pPr>
        <w:tabs>
          <w:tab w:val="left" w:pos="-1440"/>
        </w:tabs>
      </w:pPr>
      <w:r>
        <w:rPr>
          <w:b/>
        </w:rPr>
        <w:t>OCFO</w:t>
      </w:r>
      <w:r w:rsidR="00A43586">
        <w:rPr>
          <w:b/>
        </w:rPr>
        <w:t xml:space="preserve"> CONTACT</w:t>
      </w:r>
      <w:r w:rsidR="00D376A5">
        <w:rPr>
          <w:b/>
        </w:rPr>
        <w:t>:</w:t>
      </w:r>
      <w:r w:rsidR="00D376A5">
        <w:rPr>
          <w:b/>
        </w:rPr>
        <w:tab/>
      </w:r>
      <w:r w:rsidR="008D349C">
        <w:rPr>
          <w:b/>
        </w:rPr>
        <w:tab/>
      </w:r>
      <w:r>
        <w:t>Joyce Dickerson</w:t>
      </w:r>
      <w:r w:rsidR="00A43586">
        <w:tab/>
      </w:r>
      <w:r w:rsidR="005D3923" w:rsidRPr="00685398">
        <w:t xml:space="preserve">(785) </w:t>
      </w:r>
      <w:r>
        <w:t>296-3979</w:t>
      </w:r>
      <w:r w:rsidR="005D3923" w:rsidRPr="00685398">
        <w:t xml:space="preserve"> </w:t>
      </w:r>
      <w:r w:rsidR="00727AC1" w:rsidRPr="00685398">
        <w:t xml:space="preserve">  </w:t>
      </w:r>
      <w:r w:rsidR="005D3923" w:rsidRPr="00685398">
        <w:t xml:space="preserve"> </w:t>
      </w:r>
      <w:r w:rsidR="00A43586">
        <w:t>(</w:t>
      </w:r>
      <w:hyperlink r:id="rId6" w:history="1">
        <w:r w:rsidRPr="009F2775">
          <w:rPr>
            <w:rStyle w:val="Hyperlink"/>
          </w:rPr>
          <w:t>joyce.dickerson@ks.gov</w:t>
        </w:r>
      </w:hyperlink>
      <w:r w:rsidR="00A43586">
        <w:t>)</w:t>
      </w:r>
      <w:r w:rsidR="00D376A5">
        <w:t xml:space="preserve"> </w:t>
      </w:r>
    </w:p>
    <w:p w:rsidR="00D376A5" w:rsidRDefault="008D349C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</w:p>
    <w:p w:rsidR="00D376A5" w:rsidRDefault="00D376A5">
      <w:pPr>
        <w:tabs>
          <w:tab w:val="left" w:pos="-1440"/>
        </w:tabs>
      </w:pPr>
      <w:r>
        <w:rPr>
          <w:b/>
        </w:rPr>
        <w:t>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376A5" w:rsidRDefault="00D376A5">
      <w:pPr>
        <w:tabs>
          <w:tab w:val="left" w:pos="-1440"/>
        </w:tabs>
      </w:pPr>
    </w:p>
    <w:p w:rsidR="00D376A5" w:rsidRDefault="00D376A5">
      <w:pPr>
        <w:tabs>
          <w:tab w:val="left" w:pos="-1440"/>
        </w:tabs>
        <w:ind w:left="2880" w:hanging="2880"/>
      </w:pPr>
      <w:r>
        <w:rPr>
          <w:b/>
        </w:rPr>
        <w:t>SUMMARY:</w:t>
      </w:r>
      <w:r>
        <w:rPr>
          <w:b/>
        </w:rPr>
        <w:tab/>
      </w:r>
      <w:bookmarkStart w:id="0" w:name="_GoBack"/>
      <w:bookmarkEnd w:id="0"/>
      <w:r w:rsidR="004368D7">
        <w:t xml:space="preserve">New Roth </w:t>
      </w:r>
      <w:r w:rsidR="00E02567">
        <w:t>Plan Type/</w:t>
      </w:r>
      <w:r w:rsidR="004368D7">
        <w:t>Benefit Plans/</w:t>
      </w:r>
      <w:r w:rsidR="00B065DE">
        <w:t xml:space="preserve">Post-Tax </w:t>
      </w:r>
      <w:r w:rsidR="004368D7">
        <w:t>Deduction Code for Deferred Compensation</w:t>
      </w:r>
    </w:p>
    <w:p w:rsidR="00D376A5" w:rsidRDefault="00364305">
      <w:pPr>
        <w:tabs>
          <w:tab w:val="left" w:pos="-1440"/>
        </w:tabs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7058025" cy="5715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025" cy="5715"/>
                        </a:xfrm>
                        <a:custGeom>
                          <a:avLst/>
                          <a:gdLst>
                            <a:gd name="T0" fmla="*/ 0 w 11115"/>
                            <a:gd name="T1" fmla="*/ 9 h 9"/>
                            <a:gd name="T2" fmla="*/ 11115 w 11115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15" h="9">
                              <a:moveTo>
                                <a:pt x="0" y="9"/>
                              </a:moveTo>
                              <a:lnTo>
                                <a:pt x="1111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6.35pt,555.75pt,5.9pt" coordsize="111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" o:allowincell="f" filled="f" strokeweight="1.25pt">
                <v:path arrowok="t" o:connecttype="custom" o:connectlocs="0,5715;7058025,0" o:connectangles="0,0"/>
              </v:polyline>
            </w:pict>
          </mc:Fallback>
        </mc:AlternateContent>
      </w:r>
    </w:p>
    <w:p w:rsidR="008E052D" w:rsidRDefault="008E052D" w:rsidP="008E052D">
      <w:pPr>
        <w:ind w:left="72"/>
        <w:rPr>
          <w:szCs w:val="24"/>
        </w:rPr>
      </w:pPr>
      <w:r>
        <w:rPr>
          <w:szCs w:val="24"/>
        </w:rPr>
        <w:t>In recent years, Congress extended to 457 plans the option of allowing contributions to a Roth 457 account, using post-tax contributions.  As a result of 2016 legislation, KPERS will expand the KPERS 457 plan so that participants can choose between pre-tax and post-tax contributions</w:t>
      </w:r>
      <w:r w:rsidR="00C964B6">
        <w:rPr>
          <w:szCs w:val="24"/>
        </w:rPr>
        <w:t xml:space="preserve"> effective January 1, 2017</w:t>
      </w:r>
      <w:r>
        <w:rPr>
          <w:szCs w:val="24"/>
        </w:rPr>
        <w:t xml:space="preserve">.  </w:t>
      </w:r>
    </w:p>
    <w:p w:rsidR="00866BAC" w:rsidRDefault="00866BAC">
      <w:pPr>
        <w:tabs>
          <w:tab w:val="left" w:pos="-1440"/>
        </w:tabs>
        <w:ind w:right="-90"/>
      </w:pPr>
    </w:p>
    <w:p w:rsidR="008F51A6" w:rsidRDefault="00C964B6">
      <w:pPr>
        <w:tabs>
          <w:tab w:val="left" w:pos="-1440"/>
        </w:tabs>
        <w:ind w:right="-90"/>
      </w:pPr>
      <w:r>
        <w:t>To implement this new deferred compensation option, a</w:t>
      </w:r>
      <w:r w:rsidR="00E009B1">
        <w:t xml:space="preserve"> new </w:t>
      </w:r>
      <w:r w:rsidR="00D56206">
        <w:t xml:space="preserve">Roth </w:t>
      </w:r>
      <w:r w:rsidR="00B065DE">
        <w:t xml:space="preserve">post-tax </w:t>
      </w:r>
      <w:r w:rsidR="00E009B1">
        <w:t>deduction</w:t>
      </w:r>
      <w:r w:rsidR="00D56206">
        <w:t xml:space="preserve"> code, </w:t>
      </w:r>
      <w:r>
        <w:t xml:space="preserve">benefit </w:t>
      </w:r>
      <w:r w:rsidR="00D56206">
        <w:t>plan type and benefit plans</w:t>
      </w:r>
      <w:r w:rsidR="0059079D">
        <w:t xml:space="preserve"> will be added to </w:t>
      </w:r>
      <w:proofErr w:type="spellStart"/>
      <w:r w:rsidR="00221C0A">
        <w:t>SHa</w:t>
      </w:r>
      <w:r w:rsidR="00F26656">
        <w:t>RP</w:t>
      </w:r>
      <w:proofErr w:type="spellEnd"/>
      <w:r>
        <w:t xml:space="preserve">.  </w:t>
      </w:r>
      <w:r w:rsidR="00F26656">
        <w:t xml:space="preserve"> </w:t>
      </w:r>
      <w:r>
        <w:t>T</w:t>
      </w:r>
      <w:r w:rsidR="00FD4D83">
        <w:t xml:space="preserve">he first </w:t>
      </w:r>
      <w:r>
        <w:t>Roth deferred comp</w:t>
      </w:r>
      <w:r w:rsidR="00EE098E">
        <w:t>ensation</w:t>
      </w:r>
      <w:r>
        <w:t xml:space="preserve"> payroll </w:t>
      </w:r>
      <w:r w:rsidR="00FD4D83">
        <w:t>deduction</w:t>
      </w:r>
      <w:r w:rsidR="00D56206">
        <w:t>s</w:t>
      </w:r>
      <w:r w:rsidR="00FD4D83">
        <w:t xml:space="preserve"> will </w:t>
      </w:r>
      <w:r w:rsidR="00804BB1">
        <w:t>be processed</w:t>
      </w:r>
      <w:r w:rsidR="00FD4D83">
        <w:t xml:space="preserve"> </w:t>
      </w:r>
      <w:r w:rsidR="008F2B58">
        <w:t xml:space="preserve">in </w:t>
      </w:r>
      <w:proofErr w:type="spellStart"/>
      <w:r w:rsidR="008F2B58">
        <w:t>SHaRP</w:t>
      </w:r>
      <w:proofErr w:type="spellEnd"/>
      <w:r w:rsidR="008F2B58">
        <w:t xml:space="preserve"> </w:t>
      </w:r>
      <w:r w:rsidR="00F26656">
        <w:t>effective for the payroll period beginning</w:t>
      </w:r>
      <w:r w:rsidR="00D56206">
        <w:t xml:space="preserve"> December 18, 2016</w:t>
      </w:r>
      <w:r w:rsidR="0059079D">
        <w:t xml:space="preserve">, </w:t>
      </w:r>
      <w:r w:rsidR="00F26656" w:rsidRPr="00685398">
        <w:t xml:space="preserve">ending </w:t>
      </w:r>
      <w:r w:rsidR="00D56206">
        <w:t>December 31, 2016</w:t>
      </w:r>
      <w:r w:rsidR="0059079D">
        <w:t xml:space="preserve">, </w:t>
      </w:r>
      <w:r w:rsidR="00F26656" w:rsidRPr="00685398">
        <w:t xml:space="preserve">paid </w:t>
      </w:r>
      <w:r w:rsidR="00D56206">
        <w:t>January 13, 2017</w:t>
      </w:r>
      <w:r w:rsidR="0059079D">
        <w:t xml:space="preserve">.  </w:t>
      </w:r>
    </w:p>
    <w:p w:rsidR="002C0F0A" w:rsidRDefault="002C0F0A">
      <w:pPr>
        <w:tabs>
          <w:tab w:val="left" w:pos="-1440"/>
        </w:tabs>
        <w:ind w:right="-90"/>
      </w:pPr>
    </w:p>
    <w:p w:rsidR="003A7450" w:rsidRDefault="008F51A6">
      <w:pPr>
        <w:tabs>
          <w:tab w:val="left" w:pos="-1440"/>
        </w:tabs>
        <w:ind w:right="-90"/>
      </w:pPr>
      <w:r>
        <w:t xml:space="preserve">The new </w:t>
      </w:r>
      <w:r w:rsidR="00E02567">
        <w:t>Roth Deferred Comp</w:t>
      </w:r>
      <w:r w:rsidR="00EE098E">
        <w:t>ensation</w:t>
      </w:r>
      <w:r w:rsidR="0059079D">
        <w:t xml:space="preserve"> </w:t>
      </w:r>
      <w:r w:rsidR="00F864CB">
        <w:t xml:space="preserve">benefit plan type, </w:t>
      </w:r>
      <w:r w:rsidR="001D6DF4">
        <w:t>benefit plans</w:t>
      </w:r>
      <w:r w:rsidR="00513FDA">
        <w:t xml:space="preserve"> and after-tax deduction code</w:t>
      </w:r>
      <w:r w:rsidR="001D6DF4">
        <w:t xml:space="preserve"> </w:t>
      </w:r>
      <w:r>
        <w:t>are:</w:t>
      </w:r>
      <w:r w:rsidR="009763C9">
        <w:t xml:space="preserve">  </w:t>
      </w:r>
    </w:p>
    <w:p w:rsidR="001D6DF4" w:rsidRDefault="001D6DF4">
      <w:pPr>
        <w:tabs>
          <w:tab w:val="left" w:pos="-1440"/>
        </w:tabs>
        <w:ind w:right="-90"/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2250"/>
        <w:gridCol w:w="1890"/>
        <w:gridCol w:w="1350"/>
        <w:gridCol w:w="1980"/>
      </w:tblGrid>
      <w:tr w:rsidR="001355D6" w:rsidRPr="003A7450" w:rsidTr="001355D6">
        <w:tc>
          <w:tcPr>
            <w:tcW w:w="918" w:type="dxa"/>
          </w:tcPr>
          <w:p w:rsidR="001355D6" w:rsidRDefault="001355D6" w:rsidP="00B06062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 xml:space="preserve">PLAN </w:t>
            </w:r>
          </w:p>
          <w:p w:rsidR="001355D6" w:rsidRPr="001D6DF4" w:rsidRDefault="001355D6" w:rsidP="00B060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</w:t>
            </w:r>
          </w:p>
        </w:tc>
        <w:tc>
          <w:tcPr>
            <w:tcW w:w="1710" w:type="dxa"/>
          </w:tcPr>
          <w:p w:rsidR="001355D6" w:rsidRPr="001D6DF4" w:rsidRDefault="001355D6" w:rsidP="003A7450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>DEDUCTION CODE</w:t>
            </w:r>
          </w:p>
        </w:tc>
        <w:tc>
          <w:tcPr>
            <w:tcW w:w="2250" w:type="dxa"/>
          </w:tcPr>
          <w:p w:rsidR="001355D6" w:rsidRPr="001D6DF4" w:rsidRDefault="001355D6" w:rsidP="003A7450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>DESCRIPTION</w:t>
            </w:r>
          </w:p>
        </w:tc>
        <w:tc>
          <w:tcPr>
            <w:tcW w:w="1890" w:type="dxa"/>
          </w:tcPr>
          <w:p w:rsidR="001355D6" w:rsidRPr="001D6DF4" w:rsidRDefault="001355D6" w:rsidP="003A7450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>SHORT DESCRIPTION</w:t>
            </w:r>
          </w:p>
        </w:tc>
        <w:tc>
          <w:tcPr>
            <w:tcW w:w="1350" w:type="dxa"/>
          </w:tcPr>
          <w:p w:rsidR="001355D6" w:rsidRPr="001D6DF4" w:rsidRDefault="001355D6" w:rsidP="003A7450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>BENEFIT PLAN</w:t>
            </w:r>
          </w:p>
        </w:tc>
        <w:tc>
          <w:tcPr>
            <w:tcW w:w="1980" w:type="dxa"/>
          </w:tcPr>
          <w:p w:rsidR="001355D6" w:rsidRPr="001D6DF4" w:rsidRDefault="001355D6" w:rsidP="003A7450">
            <w:pPr>
              <w:jc w:val="center"/>
              <w:rPr>
                <w:b/>
                <w:szCs w:val="24"/>
              </w:rPr>
            </w:pPr>
            <w:r w:rsidRPr="001D6DF4">
              <w:rPr>
                <w:b/>
                <w:szCs w:val="24"/>
              </w:rPr>
              <w:t>BENEFIT PLAN DESCRIPTION</w:t>
            </w:r>
          </w:p>
        </w:tc>
      </w:tr>
      <w:tr w:rsidR="001355D6" w:rsidRPr="003A7450" w:rsidTr="001355D6">
        <w:tc>
          <w:tcPr>
            <w:tcW w:w="918" w:type="dxa"/>
          </w:tcPr>
          <w:p w:rsidR="001355D6" w:rsidRPr="001D6DF4" w:rsidRDefault="00E02567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4R</w:t>
            </w:r>
          </w:p>
        </w:tc>
        <w:tc>
          <w:tcPr>
            <w:tcW w:w="171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457DRA</w:t>
            </w:r>
          </w:p>
        </w:tc>
        <w:tc>
          <w:tcPr>
            <w:tcW w:w="2250" w:type="dxa"/>
          </w:tcPr>
          <w:p w:rsidR="001355D6" w:rsidRPr="001D6DF4" w:rsidRDefault="00F864CB" w:rsidP="003A7450">
            <w:pPr>
              <w:jc w:val="center"/>
              <w:rPr>
                <w:szCs w:val="24"/>
              </w:rPr>
            </w:pPr>
            <w:r w:rsidRPr="00F864CB">
              <w:rPr>
                <w:szCs w:val="24"/>
              </w:rPr>
              <w:t>Deferred Compensation-Roth</w:t>
            </w:r>
          </w:p>
        </w:tc>
        <w:tc>
          <w:tcPr>
            <w:tcW w:w="1890" w:type="dxa"/>
          </w:tcPr>
          <w:p w:rsidR="001355D6" w:rsidRPr="001D6DF4" w:rsidRDefault="00F864CB" w:rsidP="003A7450">
            <w:pPr>
              <w:jc w:val="center"/>
              <w:rPr>
                <w:szCs w:val="24"/>
              </w:rPr>
            </w:pPr>
            <w:proofErr w:type="spellStart"/>
            <w:r w:rsidRPr="00F864CB">
              <w:rPr>
                <w:szCs w:val="24"/>
              </w:rPr>
              <w:t>DefCompRth</w:t>
            </w:r>
            <w:proofErr w:type="spellEnd"/>
          </w:p>
        </w:tc>
        <w:tc>
          <w:tcPr>
            <w:tcW w:w="135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457DRA</w:t>
            </w:r>
          </w:p>
        </w:tc>
        <w:tc>
          <w:tcPr>
            <w:tcW w:w="198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 w:rsidRPr="00344B56">
              <w:rPr>
                <w:szCs w:val="24"/>
              </w:rPr>
              <w:t>Deferred Compensation-Roth</w:t>
            </w:r>
          </w:p>
        </w:tc>
      </w:tr>
      <w:tr w:rsidR="001355D6" w:rsidRPr="003A7450" w:rsidTr="001355D6">
        <w:tc>
          <w:tcPr>
            <w:tcW w:w="918" w:type="dxa"/>
          </w:tcPr>
          <w:p w:rsidR="001355D6" w:rsidRPr="001D6DF4" w:rsidRDefault="00E02567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4R</w:t>
            </w:r>
          </w:p>
        </w:tc>
        <w:tc>
          <w:tcPr>
            <w:tcW w:w="171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457DRA</w:t>
            </w:r>
          </w:p>
        </w:tc>
        <w:tc>
          <w:tcPr>
            <w:tcW w:w="2250" w:type="dxa"/>
          </w:tcPr>
          <w:p w:rsidR="001355D6" w:rsidRPr="001D6DF4" w:rsidRDefault="00F864CB" w:rsidP="003A7450">
            <w:pPr>
              <w:jc w:val="center"/>
              <w:rPr>
                <w:szCs w:val="24"/>
              </w:rPr>
            </w:pPr>
            <w:r w:rsidRPr="00F864CB">
              <w:rPr>
                <w:szCs w:val="24"/>
              </w:rPr>
              <w:t>Deferred Compensation-Roth</w:t>
            </w:r>
          </w:p>
        </w:tc>
        <w:tc>
          <w:tcPr>
            <w:tcW w:w="1890" w:type="dxa"/>
          </w:tcPr>
          <w:p w:rsidR="001355D6" w:rsidRPr="001D6DF4" w:rsidRDefault="00F864CB" w:rsidP="003A7450">
            <w:pPr>
              <w:jc w:val="center"/>
              <w:rPr>
                <w:szCs w:val="24"/>
              </w:rPr>
            </w:pPr>
            <w:proofErr w:type="spellStart"/>
            <w:r w:rsidRPr="00F864CB">
              <w:rPr>
                <w:szCs w:val="24"/>
              </w:rPr>
              <w:t>DefCompRth</w:t>
            </w:r>
            <w:proofErr w:type="spellEnd"/>
          </w:p>
        </w:tc>
        <w:tc>
          <w:tcPr>
            <w:tcW w:w="135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457DRC</w:t>
            </w:r>
          </w:p>
        </w:tc>
        <w:tc>
          <w:tcPr>
            <w:tcW w:w="1980" w:type="dxa"/>
          </w:tcPr>
          <w:p w:rsidR="001355D6" w:rsidRPr="001D6DF4" w:rsidRDefault="00344B56" w:rsidP="003A7450">
            <w:pPr>
              <w:jc w:val="center"/>
              <w:rPr>
                <w:szCs w:val="24"/>
              </w:rPr>
            </w:pPr>
            <w:r w:rsidRPr="00344B56">
              <w:rPr>
                <w:szCs w:val="24"/>
              </w:rPr>
              <w:t>Deferred Compensation-Roth</w:t>
            </w:r>
          </w:p>
        </w:tc>
      </w:tr>
      <w:tr w:rsidR="00344B56" w:rsidRPr="003A7450" w:rsidTr="001355D6">
        <w:tc>
          <w:tcPr>
            <w:tcW w:w="918" w:type="dxa"/>
          </w:tcPr>
          <w:p w:rsidR="00344B56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4R</w:t>
            </w:r>
          </w:p>
        </w:tc>
        <w:tc>
          <w:tcPr>
            <w:tcW w:w="1710" w:type="dxa"/>
          </w:tcPr>
          <w:p w:rsidR="00344B56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457DRA</w:t>
            </w:r>
          </w:p>
        </w:tc>
        <w:tc>
          <w:tcPr>
            <w:tcW w:w="2250" w:type="dxa"/>
          </w:tcPr>
          <w:p w:rsidR="00344B56" w:rsidRDefault="00F864CB" w:rsidP="003A7450">
            <w:pPr>
              <w:jc w:val="center"/>
              <w:rPr>
                <w:szCs w:val="24"/>
              </w:rPr>
            </w:pPr>
            <w:r w:rsidRPr="00F864CB">
              <w:rPr>
                <w:szCs w:val="24"/>
              </w:rPr>
              <w:t>Deferred Compensation-Roth</w:t>
            </w:r>
          </w:p>
        </w:tc>
        <w:tc>
          <w:tcPr>
            <w:tcW w:w="1890" w:type="dxa"/>
          </w:tcPr>
          <w:p w:rsidR="00344B56" w:rsidRDefault="00F864CB" w:rsidP="003A7450">
            <w:pPr>
              <w:jc w:val="center"/>
              <w:rPr>
                <w:szCs w:val="24"/>
              </w:rPr>
            </w:pPr>
            <w:proofErr w:type="spellStart"/>
            <w:r w:rsidRPr="00F864CB">
              <w:rPr>
                <w:szCs w:val="24"/>
              </w:rPr>
              <w:t>DefCompRth</w:t>
            </w:r>
            <w:proofErr w:type="spellEnd"/>
          </w:p>
        </w:tc>
        <w:tc>
          <w:tcPr>
            <w:tcW w:w="1350" w:type="dxa"/>
          </w:tcPr>
          <w:p w:rsidR="00344B56" w:rsidRDefault="00344B56" w:rsidP="003A7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457DRR</w:t>
            </w:r>
          </w:p>
        </w:tc>
        <w:tc>
          <w:tcPr>
            <w:tcW w:w="1980" w:type="dxa"/>
          </w:tcPr>
          <w:p w:rsidR="00344B56" w:rsidRDefault="00344B56" w:rsidP="003A7450">
            <w:pPr>
              <w:jc w:val="center"/>
              <w:rPr>
                <w:szCs w:val="24"/>
              </w:rPr>
            </w:pPr>
            <w:r w:rsidRPr="00344B56">
              <w:rPr>
                <w:szCs w:val="24"/>
              </w:rPr>
              <w:t>Deferred Compensation-Roth</w:t>
            </w:r>
          </w:p>
        </w:tc>
      </w:tr>
    </w:tbl>
    <w:p w:rsidR="008F51A6" w:rsidRDefault="008F51A6">
      <w:pPr>
        <w:tabs>
          <w:tab w:val="left" w:pos="-1440"/>
        </w:tabs>
        <w:ind w:right="-90"/>
      </w:pPr>
    </w:p>
    <w:p w:rsidR="00DB0E02" w:rsidRDefault="00DB0E02">
      <w:pPr>
        <w:tabs>
          <w:tab w:val="left" w:pos="-1440"/>
        </w:tabs>
        <w:ind w:right="-90"/>
      </w:pPr>
      <w:r>
        <w:t xml:space="preserve">The </w:t>
      </w:r>
      <w:r w:rsidR="00294953">
        <w:t xml:space="preserve">three new Benefit Plans are established for the following employee </w:t>
      </w:r>
      <w:r w:rsidR="00E0509D">
        <w:t xml:space="preserve">deferred comp </w:t>
      </w:r>
      <w:r w:rsidR="00294953">
        <w:t>categories:</w:t>
      </w:r>
    </w:p>
    <w:p w:rsidR="00294953" w:rsidRDefault="00294953">
      <w:pPr>
        <w:tabs>
          <w:tab w:val="left" w:pos="-1440"/>
        </w:tabs>
        <w:ind w:right="-90"/>
      </w:pPr>
    </w:p>
    <w:p w:rsidR="00294953" w:rsidRPr="00294953" w:rsidRDefault="00294953">
      <w:pPr>
        <w:tabs>
          <w:tab w:val="left" w:pos="-1440"/>
        </w:tabs>
        <w:ind w:right="-90"/>
      </w:pPr>
      <w:r>
        <w:rPr>
          <w:b/>
          <w:szCs w:val="24"/>
          <w:u w:val="single"/>
        </w:rPr>
        <w:t>Benefit</w:t>
      </w:r>
      <w:r w:rsidRPr="00294953">
        <w:rPr>
          <w:b/>
          <w:szCs w:val="24"/>
          <w:u w:val="single"/>
        </w:rPr>
        <w:t xml:space="preserve"> P</w:t>
      </w:r>
      <w:r>
        <w:rPr>
          <w:b/>
          <w:szCs w:val="24"/>
          <w:u w:val="single"/>
        </w:rPr>
        <w:t>lan</w:t>
      </w:r>
      <w:r>
        <w:rPr>
          <w:b/>
          <w:szCs w:val="24"/>
        </w:rPr>
        <w:tab/>
      </w:r>
      <w:r w:rsidRPr="00294953">
        <w:rPr>
          <w:b/>
          <w:szCs w:val="24"/>
          <w:u w:val="single"/>
        </w:rPr>
        <w:t>Employee Category</w:t>
      </w:r>
    </w:p>
    <w:p w:rsidR="00DB0E02" w:rsidRDefault="00217FD9">
      <w:pPr>
        <w:tabs>
          <w:tab w:val="left" w:pos="-1440"/>
        </w:tabs>
        <w:ind w:right="-90"/>
        <w:rPr>
          <w:szCs w:val="24"/>
        </w:rPr>
      </w:pPr>
      <w:r>
        <w:rPr>
          <w:szCs w:val="24"/>
        </w:rPr>
        <w:t>457DRA</w:t>
      </w:r>
      <w:r>
        <w:rPr>
          <w:szCs w:val="24"/>
        </w:rPr>
        <w:tab/>
        <w:t>Roth-regular c</w:t>
      </w:r>
      <w:r w:rsidR="00294953">
        <w:rPr>
          <w:szCs w:val="24"/>
        </w:rPr>
        <w:t>ontribution</w:t>
      </w:r>
      <w:r>
        <w:rPr>
          <w:szCs w:val="24"/>
        </w:rPr>
        <w:t xml:space="preserve"> (all participants)</w:t>
      </w:r>
    </w:p>
    <w:p w:rsidR="00217FD9" w:rsidRDefault="00217FD9" w:rsidP="00217FD9">
      <w:pPr>
        <w:rPr>
          <w:szCs w:val="24"/>
        </w:rPr>
      </w:pPr>
      <w:r>
        <w:rPr>
          <w:szCs w:val="24"/>
        </w:rPr>
        <w:t>457DRC</w:t>
      </w:r>
      <w:r>
        <w:rPr>
          <w:szCs w:val="24"/>
        </w:rPr>
        <w:tab/>
        <w:t>Roth-</w:t>
      </w:r>
      <w:r w:rsidRPr="00217FD9">
        <w:rPr>
          <w:rFonts w:ascii="Arial" w:hAnsi="Arial" w:cs="Arial"/>
          <w:szCs w:val="24"/>
        </w:rPr>
        <w:t xml:space="preserve"> </w:t>
      </w:r>
      <w:r w:rsidRPr="00217FD9">
        <w:rPr>
          <w:szCs w:val="24"/>
        </w:rPr>
        <w:t>catch-up provision for participants who are 50 years of age or older</w:t>
      </w:r>
    </w:p>
    <w:p w:rsidR="00217FD9" w:rsidRPr="00217FD9" w:rsidRDefault="00217FD9" w:rsidP="00217FD9">
      <w:pPr>
        <w:rPr>
          <w:szCs w:val="24"/>
        </w:rPr>
      </w:pPr>
      <w:r>
        <w:rPr>
          <w:szCs w:val="24"/>
        </w:rPr>
        <w:t>457DRR</w:t>
      </w:r>
      <w:r>
        <w:rPr>
          <w:szCs w:val="24"/>
        </w:rPr>
        <w:tab/>
        <w:t>Roth-</w:t>
      </w:r>
      <w:r w:rsidRPr="00217FD9">
        <w:rPr>
          <w:rFonts w:ascii="Arial" w:hAnsi="Arial" w:cs="Arial"/>
          <w:szCs w:val="24"/>
        </w:rPr>
        <w:t xml:space="preserve"> </w:t>
      </w:r>
      <w:r w:rsidRPr="00217FD9">
        <w:rPr>
          <w:szCs w:val="24"/>
        </w:rPr>
        <w:t>special catch-up for participants who are within three years of normal retirement age</w:t>
      </w:r>
    </w:p>
    <w:p w:rsidR="00217FD9" w:rsidRDefault="00217FD9">
      <w:pPr>
        <w:tabs>
          <w:tab w:val="left" w:pos="-1440"/>
        </w:tabs>
        <w:ind w:right="-90"/>
        <w:rPr>
          <w:szCs w:val="24"/>
        </w:rPr>
      </w:pPr>
    </w:p>
    <w:p w:rsidR="00E0509D" w:rsidRDefault="00E0509D" w:rsidP="00E0509D">
      <w:pPr>
        <w:rPr>
          <w:szCs w:val="24"/>
        </w:rPr>
      </w:pPr>
      <w:r w:rsidRPr="00E0509D">
        <w:rPr>
          <w:szCs w:val="24"/>
        </w:rPr>
        <w:t xml:space="preserve">The </w:t>
      </w:r>
      <w:r>
        <w:rPr>
          <w:szCs w:val="24"/>
        </w:rPr>
        <w:t xml:space="preserve">contribution </w:t>
      </w:r>
      <w:r w:rsidRPr="00E0509D">
        <w:rPr>
          <w:szCs w:val="24"/>
        </w:rPr>
        <w:t xml:space="preserve">maximums for the benefit plans will include </w:t>
      </w:r>
      <w:r w:rsidRPr="00C964B6">
        <w:rPr>
          <w:b/>
          <w:szCs w:val="24"/>
        </w:rPr>
        <w:t>both</w:t>
      </w:r>
      <w:r>
        <w:rPr>
          <w:szCs w:val="24"/>
        </w:rPr>
        <w:t xml:space="preserve"> </w:t>
      </w:r>
      <w:r w:rsidRPr="00E0509D">
        <w:rPr>
          <w:szCs w:val="24"/>
        </w:rPr>
        <w:t>the pre- tax and post-tax deferred compensation plans</w:t>
      </w:r>
      <w:r w:rsidR="00C964B6">
        <w:rPr>
          <w:szCs w:val="24"/>
        </w:rPr>
        <w:t xml:space="preserve"> added together</w:t>
      </w:r>
      <w:r w:rsidRPr="00E0509D">
        <w:rPr>
          <w:szCs w:val="24"/>
        </w:rPr>
        <w:t xml:space="preserve">.  </w:t>
      </w:r>
      <w:r>
        <w:rPr>
          <w:szCs w:val="24"/>
        </w:rPr>
        <w:t>Currently, t</w:t>
      </w:r>
      <w:r w:rsidRPr="00E0509D">
        <w:rPr>
          <w:szCs w:val="24"/>
        </w:rPr>
        <w:t xml:space="preserve">he maximum </w:t>
      </w:r>
      <w:r w:rsidR="002C0F0A">
        <w:rPr>
          <w:szCs w:val="24"/>
        </w:rPr>
        <w:t xml:space="preserve">contribution </w:t>
      </w:r>
      <w:r w:rsidRPr="00E0509D">
        <w:rPr>
          <w:szCs w:val="24"/>
        </w:rPr>
        <w:t xml:space="preserve">amounts </w:t>
      </w:r>
      <w:r>
        <w:rPr>
          <w:szCs w:val="24"/>
        </w:rPr>
        <w:t xml:space="preserve">are listed below.  </w:t>
      </w:r>
    </w:p>
    <w:p w:rsidR="002C0F0A" w:rsidRPr="00E0509D" w:rsidRDefault="002C0F0A" w:rsidP="00E0509D">
      <w:pPr>
        <w:rPr>
          <w:szCs w:val="24"/>
        </w:rPr>
      </w:pPr>
    </w:p>
    <w:p w:rsidR="00E0509D" w:rsidRPr="00E0509D" w:rsidRDefault="00E0509D" w:rsidP="00E0509D">
      <w:pPr>
        <w:rPr>
          <w:szCs w:val="24"/>
        </w:rPr>
      </w:pPr>
      <w:r w:rsidRPr="00E0509D">
        <w:rPr>
          <w:szCs w:val="24"/>
        </w:rPr>
        <w:t>Benefit Plans 457DEF and 457DRA - $18,000</w:t>
      </w:r>
    </w:p>
    <w:p w:rsidR="00E0509D" w:rsidRPr="00E0509D" w:rsidRDefault="00E0509D" w:rsidP="00E0509D">
      <w:pPr>
        <w:rPr>
          <w:szCs w:val="24"/>
        </w:rPr>
      </w:pPr>
      <w:r w:rsidRPr="00E0509D">
        <w:rPr>
          <w:szCs w:val="24"/>
        </w:rPr>
        <w:t>Benefit Plans 457DEC and 457DRC - $24,000</w:t>
      </w:r>
    </w:p>
    <w:p w:rsidR="00E0509D" w:rsidRDefault="00E0509D" w:rsidP="00E0509D">
      <w:pPr>
        <w:rPr>
          <w:szCs w:val="24"/>
        </w:rPr>
      </w:pPr>
      <w:r w:rsidRPr="00E0509D">
        <w:rPr>
          <w:szCs w:val="24"/>
        </w:rPr>
        <w:t>Benefit Plans 457DER and 457DRR - $36,000</w:t>
      </w:r>
    </w:p>
    <w:p w:rsidR="00E0509D" w:rsidRPr="00E0509D" w:rsidRDefault="00E0509D" w:rsidP="00E0509D">
      <w:pPr>
        <w:rPr>
          <w:szCs w:val="24"/>
        </w:rPr>
      </w:pPr>
    </w:p>
    <w:p w:rsidR="002C0F0A" w:rsidRDefault="002C0F0A" w:rsidP="002C0F0A">
      <w:pPr>
        <w:rPr>
          <w:szCs w:val="24"/>
        </w:rPr>
      </w:pPr>
      <w:r>
        <w:rPr>
          <w:szCs w:val="24"/>
        </w:rPr>
        <w:t>Note:  N</w:t>
      </w:r>
      <w:r w:rsidRPr="00E0509D">
        <w:rPr>
          <w:szCs w:val="24"/>
        </w:rPr>
        <w:t>ew maximums</w:t>
      </w:r>
      <w:r>
        <w:rPr>
          <w:szCs w:val="24"/>
        </w:rPr>
        <w:t xml:space="preserve"> for 2017</w:t>
      </w:r>
      <w:r w:rsidRPr="00E0509D">
        <w:rPr>
          <w:szCs w:val="24"/>
        </w:rPr>
        <w:t xml:space="preserve"> have not been published as of </w:t>
      </w:r>
      <w:r>
        <w:rPr>
          <w:szCs w:val="24"/>
        </w:rPr>
        <w:t>this publication</w:t>
      </w:r>
      <w:r w:rsidRPr="00E0509D">
        <w:rPr>
          <w:szCs w:val="24"/>
        </w:rPr>
        <w:t>.</w:t>
      </w:r>
    </w:p>
    <w:p w:rsidR="002C0F0A" w:rsidRDefault="002C0F0A" w:rsidP="002C0F0A">
      <w:pPr>
        <w:rPr>
          <w:szCs w:val="24"/>
        </w:rPr>
      </w:pPr>
    </w:p>
    <w:p w:rsidR="00E0509D" w:rsidRPr="00E0509D" w:rsidRDefault="00E0509D" w:rsidP="00E0509D">
      <w:pPr>
        <w:rPr>
          <w:szCs w:val="24"/>
        </w:rPr>
      </w:pPr>
      <w:r w:rsidRPr="00E0509D">
        <w:rPr>
          <w:szCs w:val="24"/>
        </w:rPr>
        <w:t xml:space="preserve">Refer to </w:t>
      </w:r>
      <w:r w:rsidR="002C0F0A">
        <w:rPr>
          <w:szCs w:val="24"/>
        </w:rPr>
        <w:t>p</w:t>
      </w:r>
      <w:r>
        <w:rPr>
          <w:szCs w:val="24"/>
        </w:rPr>
        <w:t>ayroll i</w:t>
      </w:r>
      <w:r w:rsidRPr="00E0509D">
        <w:rPr>
          <w:szCs w:val="24"/>
        </w:rPr>
        <w:t>nformation</w:t>
      </w:r>
      <w:r>
        <w:rPr>
          <w:szCs w:val="24"/>
        </w:rPr>
        <w:t>al</w:t>
      </w:r>
      <w:r w:rsidRPr="00E0509D">
        <w:rPr>
          <w:szCs w:val="24"/>
        </w:rPr>
        <w:t xml:space="preserve"> circular 15-P-</w:t>
      </w:r>
      <w:r>
        <w:rPr>
          <w:szCs w:val="24"/>
        </w:rPr>
        <w:t>0</w:t>
      </w:r>
      <w:r w:rsidRPr="00E0509D">
        <w:rPr>
          <w:szCs w:val="24"/>
        </w:rPr>
        <w:t>12</w:t>
      </w:r>
      <w:r>
        <w:rPr>
          <w:szCs w:val="24"/>
        </w:rPr>
        <w:t xml:space="preserve"> </w:t>
      </w:r>
      <w:r w:rsidRPr="00E0509D">
        <w:rPr>
          <w:szCs w:val="24"/>
        </w:rPr>
        <w:t>for</w:t>
      </w:r>
      <w:r>
        <w:rPr>
          <w:szCs w:val="24"/>
        </w:rPr>
        <w:t xml:space="preserve"> additional information on</w:t>
      </w:r>
      <w:r w:rsidRPr="00E0509D">
        <w:rPr>
          <w:szCs w:val="24"/>
        </w:rPr>
        <w:t xml:space="preserve"> Deferred Compensation and Tax Sheltered Annuity Limits.</w:t>
      </w:r>
    </w:p>
    <w:p w:rsidR="00294953" w:rsidRDefault="00294953">
      <w:pPr>
        <w:tabs>
          <w:tab w:val="left" w:pos="-1440"/>
        </w:tabs>
        <w:ind w:right="-90"/>
      </w:pPr>
    </w:p>
    <w:p w:rsidR="00F75B09" w:rsidRPr="002C0F0A" w:rsidRDefault="004876DC">
      <w:pPr>
        <w:tabs>
          <w:tab w:val="left" w:pos="-1440"/>
        </w:tabs>
        <w:ind w:right="-90"/>
        <w:rPr>
          <w:b/>
        </w:rPr>
      </w:pPr>
      <w:r>
        <w:t xml:space="preserve">The </w:t>
      </w:r>
      <w:r w:rsidR="002A206A">
        <w:t xml:space="preserve">Office of </w:t>
      </w:r>
      <w:r w:rsidR="00F864CB">
        <w:t>the Chief Financial Officer</w:t>
      </w:r>
      <w:r w:rsidR="002A206A">
        <w:t>, Payroll Systems Team</w:t>
      </w:r>
      <w:r>
        <w:t xml:space="preserve"> is responsible for making the necessary updates to the SH</w:t>
      </w:r>
      <w:r w:rsidR="001F4BE0">
        <w:t>a</w:t>
      </w:r>
      <w:r w:rsidR="00FE4B87">
        <w:t>RP payroll system.  Regents’ i</w:t>
      </w:r>
      <w:r>
        <w:t>nstitutions are responsible for ensuring that these changes are reflected in their individual systems.</w:t>
      </w:r>
      <w:r w:rsidR="008D0685">
        <w:t xml:space="preserve">  </w:t>
      </w:r>
      <w:r w:rsidR="008D0685" w:rsidRPr="002C0F0A">
        <w:rPr>
          <w:b/>
        </w:rPr>
        <w:t>In addition, Regent’s institutions should be prepared to test their payroll files for the new deduction/benefit plans by November 1, 2016.</w:t>
      </w:r>
    </w:p>
    <w:p w:rsidR="00E3272C" w:rsidRPr="002C0F0A" w:rsidRDefault="00E3272C">
      <w:pPr>
        <w:tabs>
          <w:tab w:val="left" w:pos="-1440"/>
        </w:tabs>
        <w:ind w:right="-90"/>
        <w:rPr>
          <w:b/>
        </w:rPr>
      </w:pPr>
    </w:p>
    <w:p w:rsidR="008B2584" w:rsidRDefault="008B2584">
      <w:pPr>
        <w:tabs>
          <w:tab w:val="left" w:pos="-1440"/>
        </w:tabs>
        <w:ind w:right="-90"/>
      </w:pPr>
    </w:p>
    <w:p w:rsidR="00165B72" w:rsidRPr="008F51A6" w:rsidRDefault="00165B72">
      <w:pPr>
        <w:tabs>
          <w:tab w:val="left" w:pos="-1440"/>
        </w:tabs>
        <w:ind w:right="-90"/>
      </w:pPr>
    </w:p>
    <w:p w:rsidR="00D376A5" w:rsidRDefault="00F864CB" w:rsidP="00ED2513">
      <w:pPr>
        <w:tabs>
          <w:tab w:val="left" w:pos="-1440"/>
        </w:tabs>
        <w:ind w:right="-90"/>
      </w:pPr>
      <w:r>
        <w:t>DH</w:t>
      </w:r>
      <w:proofErr w:type="gramStart"/>
      <w:r>
        <w:t>:NTR:ewb</w:t>
      </w:r>
      <w:proofErr w:type="gramEnd"/>
    </w:p>
    <w:sectPr w:rsidR="00D376A5" w:rsidSect="001F4BE0">
      <w:endnotePr>
        <w:numFmt w:val="decimal"/>
      </w:endnotePr>
      <w:pgSz w:w="12240" w:h="15840"/>
      <w:pgMar w:top="245" w:right="720" w:bottom="245" w:left="720" w:header="749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0BB"/>
    <w:multiLevelType w:val="singleLevel"/>
    <w:tmpl w:val="0E448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1"/>
    <w:rsid w:val="0000238A"/>
    <w:rsid w:val="00033148"/>
    <w:rsid w:val="00045C75"/>
    <w:rsid w:val="00050B69"/>
    <w:rsid w:val="00066FFA"/>
    <w:rsid w:val="000725E8"/>
    <w:rsid w:val="000832FF"/>
    <w:rsid w:val="0008359B"/>
    <w:rsid w:val="0008644C"/>
    <w:rsid w:val="00092C35"/>
    <w:rsid w:val="000B137A"/>
    <w:rsid w:val="00102015"/>
    <w:rsid w:val="00102F34"/>
    <w:rsid w:val="001033F9"/>
    <w:rsid w:val="00106D9F"/>
    <w:rsid w:val="001355D6"/>
    <w:rsid w:val="00165B72"/>
    <w:rsid w:val="00170E4C"/>
    <w:rsid w:val="00173AED"/>
    <w:rsid w:val="00175FA4"/>
    <w:rsid w:val="00190713"/>
    <w:rsid w:val="001B3BFB"/>
    <w:rsid w:val="001D6DF4"/>
    <w:rsid w:val="001E36BA"/>
    <w:rsid w:val="001F0B11"/>
    <w:rsid w:val="001F4BE0"/>
    <w:rsid w:val="00217FD9"/>
    <w:rsid w:val="00221C0A"/>
    <w:rsid w:val="00222AB1"/>
    <w:rsid w:val="002569C9"/>
    <w:rsid w:val="0028768C"/>
    <w:rsid w:val="00294953"/>
    <w:rsid w:val="00297929"/>
    <w:rsid w:val="002A206A"/>
    <w:rsid w:val="002C0F0A"/>
    <w:rsid w:val="002C36F8"/>
    <w:rsid w:val="002D59A3"/>
    <w:rsid w:val="002F645F"/>
    <w:rsid w:val="003217C1"/>
    <w:rsid w:val="00321905"/>
    <w:rsid w:val="00344B56"/>
    <w:rsid w:val="003536ED"/>
    <w:rsid w:val="00357ADD"/>
    <w:rsid w:val="0036280A"/>
    <w:rsid w:val="00364305"/>
    <w:rsid w:val="00380FE9"/>
    <w:rsid w:val="00384897"/>
    <w:rsid w:val="00386A50"/>
    <w:rsid w:val="003A7450"/>
    <w:rsid w:val="003B615B"/>
    <w:rsid w:val="003C7FCC"/>
    <w:rsid w:val="003D0BB0"/>
    <w:rsid w:val="003E2564"/>
    <w:rsid w:val="004044E6"/>
    <w:rsid w:val="004368D7"/>
    <w:rsid w:val="00470E2A"/>
    <w:rsid w:val="004876DC"/>
    <w:rsid w:val="004944D0"/>
    <w:rsid w:val="004954E6"/>
    <w:rsid w:val="004D430D"/>
    <w:rsid w:val="004E4723"/>
    <w:rsid w:val="00505F45"/>
    <w:rsid w:val="00513FDA"/>
    <w:rsid w:val="00522614"/>
    <w:rsid w:val="00530A62"/>
    <w:rsid w:val="00532131"/>
    <w:rsid w:val="005462B6"/>
    <w:rsid w:val="005849B9"/>
    <w:rsid w:val="0059079D"/>
    <w:rsid w:val="005D3923"/>
    <w:rsid w:val="005F3840"/>
    <w:rsid w:val="00617120"/>
    <w:rsid w:val="006541E7"/>
    <w:rsid w:val="006662B0"/>
    <w:rsid w:val="00666961"/>
    <w:rsid w:val="00685398"/>
    <w:rsid w:val="006A3A46"/>
    <w:rsid w:val="006C3EC7"/>
    <w:rsid w:val="007028F9"/>
    <w:rsid w:val="0071175D"/>
    <w:rsid w:val="0071647D"/>
    <w:rsid w:val="00727AC1"/>
    <w:rsid w:val="00734152"/>
    <w:rsid w:val="007408BD"/>
    <w:rsid w:val="00781BE5"/>
    <w:rsid w:val="0079260A"/>
    <w:rsid w:val="007C0038"/>
    <w:rsid w:val="007E63DE"/>
    <w:rsid w:val="00803ABC"/>
    <w:rsid w:val="00804BB1"/>
    <w:rsid w:val="008309AB"/>
    <w:rsid w:val="0083630D"/>
    <w:rsid w:val="008403B7"/>
    <w:rsid w:val="0085562E"/>
    <w:rsid w:val="00866BAC"/>
    <w:rsid w:val="00876624"/>
    <w:rsid w:val="0088488F"/>
    <w:rsid w:val="008A1F35"/>
    <w:rsid w:val="008A2F3C"/>
    <w:rsid w:val="008A32BC"/>
    <w:rsid w:val="008B2584"/>
    <w:rsid w:val="008B64D8"/>
    <w:rsid w:val="008C500B"/>
    <w:rsid w:val="008D0685"/>
    <w:rsid w:val="008D349C"/>
    <w:rsid w:val="008E052D"/>
    <w:rsid w:val="008F2B58"/>
    <w:rsid w:val="008F51A6"/>
    <w:rsid w:val="00906675"/>
    <w:rsid w:val="00932BCE"/>
    <w:rsid w:val="009763C9"/>
    <w:rsid w:val="00993D83"/>
    <w:rsid w:val="00993E4F"/>
    <w:rsid w:val="009A4325"/>
    <w:rsid w:val="009A7CD2"/>
    <w:rsid w:val="009F4CF6"/>
    <w:rsid w:val="00A43586"/>
    <w:rsid w:val="00A53B19"/>
    <w:rsid w:val="00A5546D"/>
    <w:rsid w:val="00A56C0F"/>
    <w:rsid w:val="00A62276"/>
    <w:rsid w:val="00A62D0C"/>
    <w:rsid w:val="00AC3E3A"/>
    <w:rsid w:val="00AE1708"/>
    <w:rsid w:val="00B06062"/>
    <w:rsid w:val="00B065DE"/>
    <w:rsid w:val="00B12063"/>
    <w:rsid w:val="00B37EC2"/>
    <w:rsid w:val="00B443EB"/>
    <w:rsid w:val="00B575AB"/>
    <w:rsid w:val="00B718F6"/>
    <w:rsid w:val="00B95635"/>
    <w:rsid w:val="00BE0CCA"/>
    <w:rsid w:val="00BE25E3"/>
    <w:rsid w:val="00BF05AC"/>
    <w:rsid w:val="00BF23BF"/>
    <w:rsid w:val="00BF74BC"/>
    <w:rsid w:val="00C02F22"/>
    <w:rsid w:val="00C035CC"/>
    <w:rsid w:val="00C03FB4"/>
    <w:rsid w:val="00C06CC4"/>
    <w:rsid w:val="00C422CD"/>
    <w:rsid w:val="00C74A28"/>
    <w:rsid w:val="00C82E50"/>
    <w:rsid w:val="00C85167"/>
    <w:rsid w:val="00C964B6"/>
    <w:rsid w:val="00C96837"/>
    <w:rsid w:val="00CC7DCB"/>
    <w:rsid w:val="00CE687D"/>
    <w:rsid w:val="00D031BD"/>
    <w:rsid w:val="00D04367"/>
    <w:rsid w:val="00D3624A"/>
    <w:rsid w:val="00D376A5"/>
    <w:rsid w:val="00D56206"/>
    <w:rsid w:val="00D5772E"/>
    <w:rsid w:val="00D63EE1"/>
    <w:rsid w:val="00D73121"/>
    <w:rsid w:val="00D85814"/>
    <w:rsid w:val="00DA1FC5"/>
    <w:rsid w:val="00DA5CFC"/>
    <w:rsid w:val="00DB0E02"/>
    <w:rsid w:val="00DC07E5"/>
    <w:rsid w:val="00DE3DD3"/>
    <w:rsid w:val="00DE7295"/>
    <w:rsid w:val="00E009B1"/>
    <w:rsid w:val="00E02567"/>
    <w:rsid w:val="00E0509D"/>
    <w:rsid w:val="00E3272C"/>
    <w:rsid w:val="00E345F1"/>
    <w:rsid w:val="00E4791C"/>
    <w:rsid w:val="00E666FF"/>
    <w:rsid w:val="00E9553B"/>
    <w:rsid w:val="00ED2513"/>
    <w:rsid w:val="00EE098E"/>
    <w:rsid w:val="00EF186B"/>
    <w:rsid w:val="00EF6FE9"/>
    <w:rsid w:val="00EF71B6"/>
    <w:rsid w:val="00F26656"/>
    <w:rsid w:val="00F459AB"/>
    <w:rsid w:val="00F6529F"/>
    <w:rsid w:val="00F75B09"/>
    <w:rsid w:val="00F84948"/>
    <w:rsid w:val="00F864CB"/>
    <w:rsid w:val="00F96194"/>
    <w:rsid w:val="00FB0F9C"/>
    <w:rsid w:val="00FB6785"/>
    <w:rsid w:val="00FD4C46"/>
    <w:rsid w:val="00FD4D83"/>
    <w:rsid w:val="00FE4B87"/>
    <w:rsid w:val="00FE757F"/>
    <w:rsid w:val="00FE780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7E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C07E5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C07E5"/>
    <w:pPr>
      <w:keepNext/>
      <w:tabs>
        <w:tab w:val="left" w:pos="-14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07E5"/>
    <w:pPr>
      <w:keepNext/>
      <w:tabs>
        <w:tab w:val="left" w:pos="-1440"/>
      </w:tabs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C07E5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07E5"/>
  </w:style>
  <w:style w:type="paragraph" w:styleId="BodyText">
    <w:name w:val="Body Text"/>
    <w:basedOn w:val="Normal"/>
    <w:rsid w:val="00DC07E5"/>
    <w:pPr>
      <w:tabs>
        <w:tab w:val="left" w:pos="-1440"/>
      </w:tabs>
      <w:jc w:val="both"/>
    </w:pPr>
  </w:style>
  <w:style w:type="paragraph" w:styleId="BodyText2">
    <w:name w:val="Body Text 2"/>
    <w:basedOn w:val="Normal"/>
    <w:rsid w:val="00DC07E5"/>
    <w:rPr>
      <w:b/>
    </w:rPr>
  </w:style>
  <w:style w:type="character" w:styleId="Hyperlink">
    <w:name w:val="Hyperlink"/>
    <w:rsid w:val="003D0BB0"/>
    <w:rPr>
      <w:color w:val="0000FF"/>
      <w:u w:val="single"/>
    </w:rPr>
  </w:style>
  <w:style w:type="character" w:styleId="FollowedHyperlink">
    <w:name w:val="FollowedHyperlink"/>
    <w:rsid w:val="003D0BB0"/>
    <w:rPr>
      <w:color w:val="800080"/>
      <w:u w:val="single"/>
    </w:rPr>
  </w:style>
  <w:style w:type="paragraph" w:styleId="BalloonText">
    <w:name w:val="Balloon Text"/>
    <w:basedOn w:val="Normal"/>
    <w:semiHidden/>
    <w:rsid w:val="00654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4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7E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C07E5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C07E5"/>
    <w:pPr>
      <w:keepNext/>
      <w:tabs>
        <w:tab w:val="left" w:pos="-14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07E5"/>
    <w:pPr>
      <w:keepNext/>
      <w:tabs>
        <w:tab w:val="left" w:pos="-1440"/>
      </w:tabs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C07E5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07E5"/>
  </w:style>
  <w:style w:type="paragraph" w:styleId="BodyText">
    <w:name w:val="Body Text"/>
    <w:basedOn w:val="Normal"/>
    <w:rsid w:val="00DC07E5"/>
    <w:pPr>
      <w:tabs>
        <w:tab w:val="left" w:pos="-1440"/>
      </w:tabs>
      <w:jc w:val="both"/>
    </w:pPr>
  </w:style>
  <w:style w:type="paragraph" w:styleId="BodyText2">
    <w:name w:val="Body Text 2"/>
    <w:basedOn w:val="Normal"/>
    <w:rsid w:val="00DC07E5"/>
    <w:rPr>
      <w:b/>
    </w:rPr>
  </w:style>
  <w:style w:type="character" w:styleId="Hyperlink">
    <w:name w:val="Hyperlink"/>
    <w:rsid w:val="003D0BB0"/>
    <w:rPr>
      <w:color w:val="0000FF"/>
      <w:u w:val="single"/>
    </w:rPr>
  </w:style>
  <w:style w:type="character" w:styleId="FollowedHyperlink">
    <w:name w:val="FollowedHyperlink"/>
    <w:rsid w:val="003D0BB0"/>
    <w:rPr>
      <w:color w:val="800080"/>
      <w:u w:val="single"/>
    </w:rPr>
  </w:style>
  <w:style w:type="paragraph" w:styleId="BalloonText">
    <w:name w:val="Balloon Text"/>
    <w:basedOn w:val="Normal"/>
    <w:semiHidden/>
    <w:rsid w:val="00654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4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dickerson@k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2510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GRAVES</vt:lpstr>
    </vt:vector>
  </TitlesOfParts>
  <Company>State of Kansas</Company>
  <LinksUpToDate>false</LinksUpToDate>
  <CharactersWithSpaces>2890</CharactersWithSpaces>
  <SharedDoc>false</SharedDoc>
  <HLinks>
    <vt:vector size="18" baseType="variant">
      <vt:variant>
        <vt:i4>2031713</vt:i4>
      </vt:variant>
      <vt:variant>
        <vt:i4>6</vt:i4>
      </vt:variant>
      <vt:variant>
        <vt:i4>0</vt:i4>
      </vt:variant>
      <vt:variant>
        <vt:i4>5</vt:i4>
      </vt:variant>
      <vt:variant>
        <vt:lpwstr>http://www.kpers.org/issuebrief_plandesign.pdf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mailto:patti.pearce@da.ks.gov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heather.debusk@da.ks.gov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GRAVES</dc:title>
  <dc:creator>Dept of Admin</dc:creator>
  <cp:lastModifiedBy>aentress</cp:lastModifiedBy>
  <cp:revision>3</cp:revision>
  <cp:lastPrinted>2009-04-28T21:52:00Z</cp:lastPrinted>
  <dcterms:created xsi:type="dcterms:W3CDTF">2016-09-07T16:32:00Z</dcterms:created>
  <dcterms:modified xsi:type="dcterms:W3CDTF">2016-09-07T16:32:00Z</dcterms:modified>
</cp:coreProperties>
</file>