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3B" w:rsidRPr="008B54B5" w:rsidRDefault="0007043B" w:rsidP="00DD6AF1">
      <w:pPr>
        <w:pStyle w:val="NoSpacing"/>
        <w:rPr>
          <w:b/>
          <w:sz w:val="24"/>
          <w:szCs w:val="24"/>
        </w:rPr>
      </w:pPr>
      <w:r w:rsidRPr="008B54B5">
        <w:rPr>
          <w:b/>
          <w:sz w:val="24"/>
          <w:szCs w:val="24"/>
        </w:rPr>
        <w:t>Informa</w:t>
      </w:r>
      <w:r w:rsidR="001C53B2">
        <w:rPr>
          <w:b/>
          <w:sz w:val="24"/>
          <w:szCs w:val="24"/>
        </w:rPr>
        <w:t>tion for Your Auditor (July 2017</w:t>
      </w:r>
      <w:r w:rsidRPr="008B54B5">
        <w:rPr>
          <w:b/>
          <w:sz w:val="24"/>
          <w:szCs w:val="24"/>
        </w:rPr>
        <w:t>)</w:t>
      </w:r>
    </w:p>
    <w:p w:rsidR="00DD6AF1" w:rsidRPr="008B54B5" w:rsidRDefault="00DD6AF1" w:rsidP="00DD6AF1">
      <w:pPr>
        <w:pStyle w:val="NoSpacing"/>
        <w:rPr>
          <w:sz w:val="24"/>
          <w:szCs w:val="24"/>
        </w:rPr>
      </w:pPr>
      <w:bookmarkStart w:id="0" w:name="_GoBack"/>
      <w:bookmarkEnd w:id="0"/>
    </w:p>
    <w:p w:rsidR="0007043B" w:rsidRDefault="0007043B" w:rsidP="00DD6AF1">
      <w:pPr>
        <w:pStyle w:val="NoSpacing"/>
        <w:rPr>
          <w:sz w:val="24"/>
          <w:szCs w:val="24"/>
        </w:rPr>
      </w:pPr>
      <w:r w:rsidRPr="008B54B5">
        <w:rPr>
          <w:sz w:val="24"/>
          <w:szCs w:val="24"/>
        </w:rPr>
        <w:t xml:space="preserve">The updated information on KPERS and KP&amp;F that the auditors need for note </w:t>
      </w:r>
      <w:r w:rsidR="00CD37D3" w:rsidRPr="008B54B5">
        <w:rPr>
          <w:sz w:val="24"/>
          <w:szCs w:val="24"/>
        </w:rPr>
        <w:t xml:space="preserve">disclosure in the audit follows. For more information on contribution rates, see </w:t>
      </w:r>
      <w:r w:rsidR="00F615F1" w:rsidRPr="008B54B5">
        <w:rPr>
          <w:sz w:val="24"/>
          <w:szCs w:val="24"/>
        </w:rPr>
        <w:t xml:space="preserve">KPERS </w:t>
      </w:r>
      <w:r w:rsidR="00CD37D3" w:rsidRPr="008B54B5">
        <w:rPr>
          <w:sz w:val="24"/>
          <w:szCs w:val="24"/>
        </w:rPr>
        <w:t xml:space="preserve">Website at </w:t>
      </w:r>
    </w:p>
    <w:p w:rsidR="001C53B2" w:rsidRPr="00F737C0" w:rsidRDefault="001E45EF" w:rsidP="00DD6AF1">
      <w:pPr>
        <w:pStyle w:val="NoSpacing"/>
        <w:rPr>
          <w:color w:val="0000FF"/>
          <w:sz w:val="24"/>
          <w:szCs w:val="24"/>
        </w:rPr>
      </w:pPr>
      <w:hyperlink r:id="rId7" w:history="1">
        <w:r w:rsidR="001C53B2" w:rsidRPr="00F737C0">
          <w:rPr>
            <w:rStyle w:val="Hyperlink"/>
            <w:sz w:val="24"/>
            <w:szCs w:val="24"/>
          </w:rPr>
          <w:t>https://www.kpers.org/employers/contributionrates.htm</w:t>
        </w:r>
      </w:hyperlink>
      <w:r w:rsidR="00F737C0">
        <w:rPr>
          <w:color w:val="0000FF"/>
          <w:sz w:val="24"/>
          <w:szCs w:val="24"/>
        </w:rPr>
        <w:t xml:space="preserve"> </w:t>
      </w:r>
      <w:r w:rsidR="00F737C0" w:rsidRPr="00F737C0">
        <w:rPr>
          <w:color w:val="0000FF"/>
          <w:sz w:val="24"/>
          <w:szCs w:val="24"/>
        </w:rPr>
        <w:t xml:space="preserve"> </w:t>
      </w:r>
      <w:r w:rsidR="001C53B2" w:rsidRPr="00F737C0">
        <w:rPr>
          <w:color w:val="0000FF"/>
          <w:sz w:val="24"/>
          <w:szCs w:val="24"/>
        </w:rPr>
        <w:t xml:space="preserve"> </w:t>
      </w:r>
    </w:p>
    <w:p w:rsidR="00DD6AF1" w:rsidRPr="008B54B5" w:rsidRDefault="00DD6AF1" w:rsidP="00DD6AF1">
      <w:pPr>
        <w:pStyle w:val="NoSpacing"/>
        <w:rPr>
          <w:rStyle w:val="Strong"/>
          <w:color w:val="000000"/>
          <w:sz w:val="24"/>
          <w:szCs w:val="24"/>
        </w:rPr>
      </w:pPr>
    </w:p>
    <w:p w:rsidR="0007043B" w:rsidRPr="008B54B5" w:rsidRDefault="0007043B" w:rsidP="00DD6AF1">
      <w:pPr>
        <w:pStyle w:val="NoSpacing"/>
        <w:rPr>
          <w:sz w:val="24"/>
          <w:szCs w:val="24"/>
        </w:rPr>
      </w:pPr>
      <w:r w:rsidRPr="008B54B5">
        <w:rPr>
          <w:rStyle w:val="Strong"/>
          <w:color w:val="000000"/>
          <w:sz w:val="24"/>
          <w:szCs w:val="24"/>
        </w:rPr>
        <w:t>Local non-school-type Municipalities that participate in KPERS and/or KP&amp;F</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KPERS combined employer rate (employer rate plus death and disability insurance rate) established by statutes fo</w:t>
      </w:r>
      <w:r w:rsidR="00F737C0">
        <w:rPr>
          <w:sz w:val="24"/>
          <w:szCs w:val="24"/>
        </w:rPr>
        <w:t>r January 1, 2017 to September</w:t>
      </w:r>
      <w:r w:rsidR="00865268" w:rsidRPr="008B54B5">
        <w:rPr>
          <w:sz w:val="24"/>
          <w:szCs w:val="24"/>
        </w:rPr>
        <w:t xml:space="preserve"> 31</w:t>
      </w:r>
      <w:r w:rsidRPr="008B54B5">
        <w:rPr>
          <w:sz w:val="24"/>
          <w:szCs w:val="24"/>
        </w:rPr>
        <w:t>, 201</w:t>
      </w:r>
      <w:r w:rsidR="00F737C0">
        <w:rPr>
          <w:sz w:val="24"/>
          <w:szCs w:val="24"/>
        </w:rPr>
        <w:t>7 is 8.46</w:t>
      </w:r>
      <w:r w:rsidR="00840549" w:rsidRPr="008B54B5">
        <w:rPr>
          <w:sz w:val="24"/>
          <w:szCs w:val="24"/>
        </w:rPr>
        <w:t>%</w:t>
      </w:r>
      <w:r w:rsidR="00F737C0">
        <w:rPr>
          <w:sz w:val="24"/>
          <w:szCs w:val="24"/>
        </w:rPr>
        <w:t xml:space="preserve"> and from October 1, 2017 to December 31, 2017 is 9.46</w:t>
      </w:r>
      <w:r w:rsidR="000757B6" w:rsidRPr="008B54B5">
        <w:rPr>
          <w:sz w:val="24"/>
          <w:szCs w:val="24"/>
        </w:rPr>
        <w:t>%*</w:t>
      </w:r>
      <w:r w:rsidRPr="008B54B5">
        <w:rPr>
          <w:sz w:val="24"/>
          <w:szCs w:val="24"/>
        </w:rPr>
        <w:t>.</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xml:space="preserve">- For </w:t>
      </w:r>
      <w:r w:rsidR="00386983" w:rsidRPr="008B54B5">
        <w:rPr>
          <w:sz w:val="24"/>
          <w:szCs w:val="24"/>
        </w:rPr>
        <w:t xml:space="preserve">the employer rates for </w:t>
      </w:r>
      <w:r w:rsidRPr="008B54B5">
        <w:rPr>
          <w:sz w:val="24"/>
          <w:szCs w:val="24"/>
        </w:rPr>
        <w:t>local non-school-type municipalities that hire a KPERS retiree</w:t>
      </w:r>
      <w:r w:rsidR="00386983" w:rsidRPr="008B54B5">
        <w:rPr>
          <w:sz w:val="24"/>
          <w:szCs w:val="24"/>
        </w:rPr>
        <w:t>,</w:t>
      </w:r>
      <w:r w:rsidRPr="008B54B5">
        <w:rPr>
          <w:sz w:val="24"/>
          <w:szCs w:val="24"/>
        </w:rPr>
        <w:t xml:space="preserve"> </w:t>
      </w:r>
      <w:r w:rsidR="00386983" w:rsidRPr="008B54B5">
        <w:rPr>
          <w:sz w:val="24"/>
          <w:szCs w:val="24"/>
        </w:rPr>
        <w:t>pl</w:t>
      </w:r>
      <w:r w:rsidR="000757B6" w:rsidRPr="008B54B5">
        <w:rPr>
          <w:sz w:val="24"/>
          <w:szCs w:val="24"/>
        </w:rPr>
        <w:t xml:space="preserve">ease see the main KPERS site at </w:t>
      </w:r>
      <w:hyperlink r:id="rId8" w:history="1">
        <w:r w:rsidR="000757B6" w:rsidRPr="008B54B5">
          <w:rPr>
            <w:rStyle w:val="Hyperlink"/>
            <w:sz w:val="24"/>
            <w:szCs w:val="24"/>
          </w:rPr>
          <w:t>http://www.kpers.org/employers/war.html</w:t>
        </w:r>
      </w:hyperlink>
      <w:r w:rsidR="000757B6" w:rsidRPr="008B54B5">
        <w:rPr>
          <w:sz w:val="24"/>
          <w:szCs w:val="24"/>
        </w:rPr>
        <w:t>.</w:t>
      </w:r>
      <w:r w:rsidR="00386983" w:rsidRPr="008B54B5">
        <w:rPr>
          <w:sz w:val="24"/>
          <w:szCs w:val="24"/>
        </w:rPr>
        <w:t xml:space="preserve"> Note the waiting period between retirement and returning to work for a KP</w:t>
      </w:r>
      <w:r w:rsidR="00623375">
        <w:rPr>
          <w:sz w:val="24"/>
          <w:szCs w:val="24"/>
        </w:rPr>
        <w:t xml:space="preserve">ERS covered employer is 60 days through December 31, 2017.  For members retiring on or after January 1, 2018, the waiting period remains at 60 days if the member retired at age 62 or later.  For member who retire before age 62, the waiting period is 180 days.  </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KP&amp;F uniform participating employer rate established by statute for fiscal years commencing in calendar year 201</w:t>
      </w:r>
      <w:r w:rsidR="00F737C0">
        <w:rPr>
          <w:sz w:val="24"/>
          <w:szCs w:val="24"/>
        </w:rPr>
        <w:t>7 is 19.03</w:t>
      </w:r>
      <w:r w:rsidRPr="008B54B5">
        <w:rPr>
          <w:sz w:val="24"/>
          <w:szCs w:val="24"/>
        </w:rPr>
        <w:t>%. The rate for fiscal years commencin</w:t>
      </w:r>
      <w:r w:rsidR="00A33CAA" w:rsidRPr="008B54B5">
        <w:rPr>
          <w:sz w:val="24"/>
          <w:szCs w:val="24"/>
        </w:rPr>
        <w:t>g in calendar year 201</w:t>
      </w:r>
      <w:r w:rsidR="00F737C0">
        <w:rPr>
          <w:sz w:val="24"/>
          <w:szCs w:val="24"/>
        </w:rPr>
        <w:t>8 is 20.09</w:t>
      </w:r>
      <w:r w:rsidRPr="008B54B5">
        <w:rPr>
          <w:sz w:val="24"/>
          <w:szCs w:val="24"/>
        </w:rPr>
        <w:t xml:space="preserve">%.  </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KP&amp;F uniform participating employer rate established by statute for fiscal years commencing in calendar year 201</w:t>
      </w:r>
      <w:r w:rsidR="00F737C0">
        <w:rPr>
          <w:sz w:val="24"/>
          <w:szCs w:val="24"/>
        </w:rPr>
        <w:t>6 is 20.42</w:t>
      </w:r>
      <w:r w:rsidRPr="008B54B5">
        <w:rPr>
          <w:sz w:val="24"/>
          <w:szCs w:val="24"/>
        </w:rPr>
        <w:t>%. The rate for fiscal years commencing in calendar year 201</w:t>
      </w:r>
      <w:r w:rsidR="00A33CAA" w:rsidRPr="008B54B5">
        <w:rPr>
          <w:sz w:val="24"/>
          <w:szCs w:val="24"/>
        </w:rPr>
        <w:t>5</w:t>
      </w:r>
      <w:r w:rsidRPr="008B54B5">
        <w:rPr>
          <w:sz w:val="24"/>
          <w:szCs w:val="24"/>
        </w:rPr>
        <w:t xml:space="preserve"> is </w:t>
      </w:r>
      <w:r w:rsidR="00A33CAA" w:rsidRPr="008B54B5">
        <w:rPr>
          <w:sz w:val="24"/>
          <w:szCs w:val="24"/>
        </w:rPr>
        <w:t>21</w:t>
      </w:r>
      <w:r w:rsidRPr="008B54B5">
        <w:rPr>
          <w:sz w:val="24"/>
          <w:szCs w:val="24"/>
        </w:rPr>
        <w:t>.</w:t>
      </w:r>
      <w:r w:rsidR="00A33CAA" w:rsidRPr="008B54B5">
        <w:rPr>
          <w:sz w:val="24"/>
          <w:szCs w:val="24"/>
        </w:rPr>
        <w:t>36</w:t>
      </w:r>
      <w:r w:rsidRPr="008B54B5">
        <w:rPr>
          <w:sz w:val="24"/>
          <w:szCs w:val="24"/>
        </w:rPr>
        <w:t>%.</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Note: Employers might pay more than the uniform rate est</w:t>
      </w:r>
      <w:r w:rsidR="00C0335C">
        <w:rPr>
          <w:sz w:val="24"/>
          <w:szCs w:val="24"/>
        </w:rPr>
        <w:t xml:space="preserve">ablished by statute because </w:t>
      </w:r>
      <w:r w:rsidRPr="008B54B5">
        <w:rPr>
          <w:sz w:val="24"/>
          <w:szCs w:val="24"/>
        </w:rPr>
        <w:t>of catch-up payments for past service costs. These rates will be certified to the employer and are on the individual employer’s KPERS employer web portal.</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w:t>
      </w:r>
      <w:r w:rsidRPr="008B54B5">
        <w:rPr>
          <w:rStyle w:val="Strong"/>
          <w:color w:val="000000"/>
          <w:sz w:val="24"/>
          <w:szCs w:val="24"/>
        </w:rPr>
        <w:t>School-type municipalities in KPERS</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The S</w:t>
      </w:r>
      <w:r w:rsidR="00865268" w:rsidRPr="008B54B5">
        <w:rPr>
          <w:sz w:val="24"/>
          <w:szCs w:val="24"/>
        </w:rPr>
        <w:t>tate of Kansas contributed 1</w:t>
      </w:r>
      <w:r w:rsidR="00F737C0">
        <w:rPr>
          <w:sz w:val="24"/>
          <w:szCs w:val="24"/>
        </w:rPr>
        <w:t>0.8</w:t>
      </w:r>
      <w:r w:rsidR="00962B20" w:rsidRPr="008B54B5">
        <w:rPr>
          <w:sz w:val="24"/>
          <w:szCs w:val="24"/>
        </w:rPr>
        <w:t>1%</w:t>
      </w:r>
      <w:r w:rsidR="00962B20" w:rsidRPr="002A3ED1">
        <w:rPr>
          <w:sz w:val="24"/>
          <w:szCs w:val="24"/>
        </w:rPr>
        <w:t>*</w:t>
      </w:r>
      <w:r w:rsidRPr="008B54B5">
        <w:rPr>
          <w:sz w:val="24"/>
          <w:szCs w:val="24"/>
        </w:rPr>
        <w:t xml:space="preserve"> of covered payroll </w:t>
      </w:r>
      <w:r w:rsidR="00962B20" w:rsidRPr="008B54B5">
        <w:rPr>
          <w:sz w:val="24"/>
          <w:szCs w:val="24"/>
        </w:rPr>
        <w:t>during fiscal year 201</w:t>
      </w:r>
      <w:r w:rsidR="00F737C0">
        <w:rPr>
          <w:sz w:val="24"/>
          <w:szCs w:val="24"/>
        </w:rPr>
        <w:t>7</w:t>
      </w:r>
      <w:r w:rsidR="00962B20" w:rsidRPr="008B54B5">
        <w:rPr>
          <w:sz w:val="24"/>
          <w:szCs w:val="24"/>
        </w:rPr>
        <w:t>, excluding the Group Death &amp; Disability Insurance rate.  During fiscal year 201</w:t>
      </w:r>
      <w:r w:rsidR="00F737C0">
        <w:rPr>
          <w:sz w:val="24"/>
          <w:szCs w:val="24"/>
        </w:rPr>
        <w:t>8</w:t>
      </w:r>
      <w:r w:rsidR="00962B20" w:rsidRPr="008B54B5">
        <w:rPr>
          <w:sz w:val="24"/>
          <w:szCs w:val="24"/>
        </w:rPr>
        <w:t>, the State</w:t>
      </w:r>
      <w:r w:rsidR="00F737C0">
        <w:rPr>
          <w:sz w:val="24"/>
          <w:szCs w:val="24"/>
        </w:rPr>
        <w:t xml:space="preserve"> of Kansas will contribute 12.01</w:t>
      </w:r>
      <w:r w:rsidR="00962B20" w:rsidRPr="008B54B5">
        <w:rPr>
          <w:sz w:val="24"/>
          <w:szCs w:val="24"/>
        </w:rPr>
        <w:t>% of covered payroll.</w:t>
      </w:r>
      <w:r w:rsidRPr="008B54B5">
        <w:rPr>
          <w:sz w:val="24"/>
          <w:szCs w:val="24"/>
        </w:rPr>
        <w:t xml:space="preserve"> </w:t>
      </w:r>
    </w:p>
    <w:p w:rsidR="00DD6AF1" w:rsidRPr="008B54B5" w:rsidRDefault="00DD6AF1" w:rsidP="00DD6AF1">
      <w:pPr>
        <w:pStyle w:val="NoSpacing"/>
        <w:rPr>
          <w:sz w:val="24"/>
          <w:szCs w:val="24"/>
        </w:rPr>
      </w:pPr>
    </w:p>
    <w:p w:rsidR="00386983" w:rsidRPr="008B54B5" w:rsidRDefault="00386983" w:rsidP="00DD6AF1">
      <w:pPr>
        <w:pStyle w:val="NoSpacing"/>
        <w:rPr>
          <w:sz w:val="24"/>
          <w:szCs w:val="24"/>
        </w:rPr>
      </w:pPr>
      <w:r w:rsidRPr="008B54B5">
        <w:rPr>
          <w:sz w:val="24"/>
          <w:szCs w:val="24"/>
        </w:rPr>
        <w:t xml:space="preserve">- For the employer rates for school-type municipalities that hire a KPERS retiree, please see the main KPERS site at </w:t>
      </w:r>
      <w:hyperlink r:id="rId9" w:history="1">
        <w:r w:rsidRPr="008B54B5">
          <w:rPr>
            <w:rStyle w:val="Hyperlink"/>
            <w:sz w:val="24"/>
            <w:szCs w:val="24"/>
          </w:rPr>
          <w:t>http://www.kpers.org/employers/war.html</w:t>
        </w:r>
      </w:hyperlink>
      <w:r w:rsidRPr="008B54B5">
        <w:rPr>
          <w:sz w:val="24"/>
          <w:szCs w:val="24"/>
        </w:rPr>
        <w:t xml:space="preserve">. Note the waiting period </w:t>
      </w:r>
      <w:r w:rsidRPr="008B54B5">
        <w:rPr>
          <w:sz w:val="24"/>
          <w:szCs w:val="24"/>
        </w:rPr>
        <w:lastRenderedPageBreak/>
        <w:t>between retirement and returning to work for a KP</w:t>
      </w:r>
      <w:r w:rsidR="00623375">
        <w:rPr>
          <w:sz w:val="24"/>
          <w:szCs w:val="24"/>
        </w:rPr>
        <w:t xml:space="preserve">ERS covered employer is 60 days through December 31, 2017.  For members retiring on or after January 1, 2018, the waiting period remains at 60 days if the member retired at age 62 or later.  For member who retire before age 62, the waiting period is 180 days.  </w:t>
      </w:r>
    </w:p>
    <w:p w:rsidR="00DD6AF1" w:rsidRPr="008B54B5" w:rsidRDefault="00DD6AF1" w:rsidP="00DD6AF1">
      <w:pPr>
        <w:pStyle w:val="NoSpacing"/>
        <w:rPr>
          <w:sz w:val="24"/>
          <w:szCs w:val="24"/>
        </w:rPr>
      </w:pPr>
    </w:p>
    <w:p w:rsidR="0007043B" w:rsidRPr="008B54B5" w:rsidRDefault="0007043B" w:rsidP="00DD6AF1">
      <w:pPr>
        <w:pStyle w:val="NoSpacing"/>
        <w:rPr>
          <w:sz w:val="24"/>
          <w:szCs w:val="24"/>
        </w:rPr>
      </w:pPr>
      <w:r w:rsidRPr="008B54B5">
        <w:rPr>
          <w:sz w:val="24"/>
          <w:szCs w:val="24"/>
        </w:rPr>
        <w:t>- The State of Kansas contribution to KPERS for all school municipalities f</w:t>
      </w:r>
      <w:r w:rsidR="00865268" w:rsidRPr="008B54B5">
        <w:rPr>
          <w:sz w:val="24"/>
          <w:szCs w:val="24"/>
        </w:rPr>
        <w:t>or the year ending June 30, 201</w:t>
      </w:r>
      <w:r w:rsidR="00F737C0">
        <w:rPr>
          <w:sz w:val="24"/>
          <w:szCs w:val="24"/>
        </w:rPr>
        <w:t>7</w:t>
      </w:r>
      <w:r w:rsidR="00ED1CF7" w:rsidRPr="008B54B5">
        <w:rPr>
          <w:sz w:val="24"/>
          <w:szCs w:val="24"/>
        </w:rPr>
        <w:t>,</w:t>
      </w:r>
      <w:r w:rsidRPr="008B54B5">
        <w:rPr>
          <w:sz w:val="24"/>
          <w:szCs w:val="24"/>
        </w:rPr>
        <w:t xml:space="preserve"> receive</w:t>
      </w:r>
      <w:r w:rsidR="00865268" w:rsidRPr="008B54B5">
        <w:rPr>
          <w:sz w:val="24"/>
          <w:szCs w:val="24"/>
        </w:rPr>
        <w:t>d as of June 30</w:t>
      </w:r>
      <w:r w:rsidR="00ED1CF7" w:rsidRPr="00C0335C">
        <w:rPr>
          <w:sz w:val="24"/>
          <w:szCs w:val="24"/>
          <w:vertAlign w:val="superscript"/>
        </w:rPr>
        <w:t>th</w:t>
      </w:r>
      <w:r w:rsidR="00C0335C">
        <w:rPr>
          <w:sz w:val="24"/>
          <w:szCs w:val="24"/>
        </w:rPr>
        <w:t>,</w:t>
      </w:r>
      <w:r w:rsidR="00865268" w:rsidRPr="008B54B5">
        <w:rPr>
          <w:sz w:val="24"/>
          <w:szCs w:val="24"/>
        </w:rPr>
        <w:t xml:space="preserve"> was </w:t>
      </w:r>
      <w:r w:rsidR="00865268" w:rsidRPr="002A3ED1">
        <w:rPr>
          <w:sz w:val="24"/>
          <w:szCs w:val="24"/>
        </w:rPr>
        <w:t>$</w:t>
      </w:r>
      <w:r w:rsidR="001B7686" w:rsidRPr="002A3ED1">
        <w:rPr>
          <w:sz w:val="24"/>
          <w:szCs w:val="24"/>
        </w:rPr>
        <w:t>304,596,361</w:t>
      </w:r>
      <w:r w:rsidRPr="008B54B5">
        <w:rPr>
          <w:sz w:val="24"/>
          <w:szCs w:val="24"/>
        </w:rPr>
        <w:t>.</w:t>
      </w:r>
    </w:p>
    <w:p w:rsidR="00DD6AF1" w:rsidRPr="008B54B5" w:rsidRDefault="00DD6AF1" w:rsidP="00DD6AF1">
      <w:pPr>
        <w:pStyle w:val="NoSpacing"/>
        <w:rPr>
          <w:sz w:val="24"/>
          <w:szCs w:val="24"/>
        </w:rPr>
      </w:pPr>
    </w:p>
    <w:p w:rsidR="00DD6AF1" w:rsidRDefault="00021907" w:rsidP="00DD6AF1">
      <w:pPr>
        <w:pStyle w:val="NoSpacing"/>
        <w:rPr>
          <w:sz w:val="24"/>
          <w:szCs w:val="24"/>
        </w:rPr>
      </w:pPr>
      <w:r>
        <w:rPr>
          <w:strike/>
          <w:sz w:val="24"/>
          <w:szCs w:val="24"/>
        </w:rPr>
        <w:t>-</w:t>
      </w:r>
      <w:r>
        <w:rPr>
          <w:sz w:val="24"/>
          <w:szCs w:val="24"/>
        </w:rPr>
        <w:t xml:space="preserve"> Per 2017 Senate Substitute for Substitute for House Bill 2052, Section 37(a), state general fund employer contributions to KPERS were decreased by $64,130,234 in FY 2017</w:t>
      </w:r>
      <w:r w:rsidR="00551830">
        <w:rPr>
          <w:sz w:val="24"/>
          <w:szCs w:val="24"/>
        </w:rPr>
        <w:t>.  Section 43 (17) of the bill also stipulates that repayments of the reduced contributions are to be amortized over twenty years at a level dollar amount</w:t>
      </w:r>
      <w:r w:rsidR="00B2002C">
        <w:rPr>
          <w:sz w:val="24"/>
          <w:szCs w:val="24"/>
        </w:rPr>
        <w:t xml:space="preserve"> commencing in FY 2018.  The level dollar amount was computed to be $6.4 million dollars per year.  </w:t>
      </w:r>
    </w:p>
    <w:p w:rsidR="00DD6AF1" w:rsidRPr="00B2002C" w:rsidRDefault="00DD6AF1" w:rsidP="00DD6AF1">
      <w:pPr>
        <w:pStyle w:val="NoSpacing"/>
        <w:rPr>
          <w:strike/>
          <w:sz w:val="24"/>
          <w:szCs w:val="24"/>
        </w:rPr>
      </w:pPr>
    </w:p>
    <w:p w:rsidR="0007043B" w:rsidRPr="008B54B5" w:rsidRDefault="0007043B" w:rsidP="00DD6AF1">
      <w:pPr>
        <w:pStyle w:val="NoSpacing"/>
        <w:rPr>
          <w:sz w:val="24"/>
          <w:szCs w:val="24"/>
        </w:rPr>
      </w:pPr>
      <w:r w:rsidRPr="008B54B5">
        <w:rPr>
          <w:sz w:val="24"/>
          <w:szCs w:val="24"/>
        </w:rPr>
        <w:t xml:space="preserve">The Governmental Accounting Standards Board (GASB) has approved new accounting and financial reporting standards for public pension plans that will affect KPERS and its affiliated employers.  Please go to the KPERS </w:t>
      </w:r>
      <w:r w:rsidR="00386983" w:rsidRPr="008B54B5">
        <w:rPr>
          <w:sz w:val="24"/>
          <w:szCs w:val="24"/>
        </w:rPr>
        <w:t xml:space="preserve">website </w:t>
      </w:r>
      <w:hyperlink r:id="rId10" w:history="1">
        <w:r w:rsidRPr="008B54B5">
          <w:rPr>
            <w:rStyle w:val="Hyperlink"/>
            <w:sz w:val="24"/>
            <w:szCs w:val="24"/>
          </w:rPr>
          <w:t>http://www.kpers.org/employers/gasb.html</w:t>
        </w:r>
      </w:hyperlink>
      <w:r w:rsidRPr="008B54B5">
        <w:rPr>
          <w:sz w:val="24"/>
          <w:szCs w:val="24"/>
        </w:rPr>
        <w:t xml:space="preserve"> for more information. </w:t>
      </w:r>
    </w:p>
    <w:p w:rsidR="00DD6AF1" w:rsidRPr="008B54B5" w:rsidRDefault="00DD6AF1" w:rsidP="00DD6AF1">
      <w:pPr>
        <w:pStyle w:val="NoSpacing"/>
        <w:rPr>
          <w:sz w:val="24"/>
          <w:szCs w:val="24"/>
        </w:rPr>
      </w:pPr>
    </w:p>
    <w:p w:rsidR="00865268" w:rsidRPr="008B54B5" w:rsidRDefault="0007043B" w:rsidP="00DD6AF1">
      <w:pPr>
        <w:pStyle w:val="NoSpacing"/>
        <w:rPr>
          <w:sz w:val="24"/>
          <w:szCs w:val="24"/>
        </w:rPr>
      </w:pPr>
      <w:r w:rsidRPr="008B54B5">
        <w:rPr>
          <w:sz w:val="24"/>
          <w:szCs w:val="24"/>
        </w:rPr>
        <w:t>* Included in this rate is the contribution for Group Death</w:t>
      </w:r>
      <w:r w:rsidR="00865268" w:rsidRPr="008B54B5">
        <w:rPr>
          <w:sz w:val="24"/>
          <w:szCs w:val="24"/>
        </w:rPr>
        <w:t xml:space="preserve"> and Disability Insurance of 1%</w:t>
      </w:r>
      <w:r w:rsidR="002A3ED1">
        <w:rPr>
          <w:sz w:val="24"/>
          <w:szCs w:val="24"/>
        </w:rPr>
        <w:t xml:space="preserve">.  </w:t>
      </w:r>
      <w:r w:rsidRPr="008B54B5">
        <w:rPr>
          <w:sz w:val="24"/>
          <w:szCs w:val="24"/>
        </w:rPr>
        <w:t>A moratorium on death and disability insurance premiums is in effect for the period Apr</w:t>
      </w:r>
      <w:r w:rsidR="009E259E">
        <w:rPr>
          <w:sz w:val="24"/>
          <w:szCs w:val="24"/>
        </w:rPr>
        <w:t>il 1, 2016 through September</w:t>
      </w:r>
      <w:r w:rsidR="00865268" w:rsidRPr="008B54B5">
        <w:rPr>
          <w:sz w:val="24"/>
          <w:szCs w:val="24"/>
        </w:rPr>
        <w:t xml:space="preserve"> 30, 2017</w:t>
      </w:r>
      <w:r w:rsidRPr="008B54B5">
        <w:rPr>
          <w:sz w:val="24"/>
          <w:szCs w:val="24"/>
        </w:rPr>
        <w:t xml:space="preserve">.  For more information please see the KPERS website at </w:t>
      </w:r>
      <w:hyperlink r:id="rId11" w:history="1">
        <w:r w:rsidRPr="008B54B5">
          <w:rPr>
            <w:rStyle w:val="Hyperlink"/>
            <w:sz w:val="24"/>
            <w:szCs w:val="24"/>
          </w:rPr>
          <w:t>www.kpers.org</w:t>
        </w:r>
      </w:hyperlink>
      <w:r w:rsidRPr="008B54B5">
        <w:rPr>
          <w:sz w:val="24"/>
          <w:szCs w:val="24"/>
        </w:rPr>
        <w:t>.</w:t>
      </w:r>
      <w:r w:rsidR="00865268" w:rsidRPr="008B54B5">
        <w:rPr>
          <w:sz w:val="24"/>
          <w:szCs w:val="24"/>
        </w:rPr>
        <w:t xml:space="preserve">  </w:t>
      </w:r>
    </w:p>
    <w:p w:rsidR="00840549" w:rsidRPr="008B54B5" w:rsidRDefault="00840549" w:rsidP="00DD6AF1">
      <w:pPr>
        <w:pStyle w:val="NoSpacing"/>
        <w:rPr>
          <w:sz w:val="24"/>
          <w:szCs w:val="24"/>
        </w:rPr>
      </w:pPr>
    </w:p>
    <w:p w:rsidR="00AB37B1" w:rsidRPr="008B54B5" w:rsidRDefault="0007043B" w:rsidP="00DD6AF1">
      <w:pPr>
        <w:pStyle w:val="NoSpacing"/>
        <w:rPr>
          <w:sz w:val="24"/>
          <w:szCs w:val="24"/>
        </w:rPr>
      </w:pPr>
      <w:r w:rsidRPr="008B54B5">
        <w:rPr>
          <w:sz w:val="24"/>
          <w:szCs w:val="24"/>
        </w:rPr>
        <w:t xml:space="preserve">Call KPERS at 1-888-275-5737 with </w:t>
      </w:r>
      <w:r w:rsidR="00840549" w:rsidRPr="008B54B5">
        <w:rPr>
          <w:sz w:val="24"/>
          <w:szCs w:val="24"/>
        </w:rPr>
        <w:t xml:space="preserve">any </w:t>
      </w:r>
      <w:r w:rsidRPr="008B54B5">
        <w:rPr>
          <w:sz w:val="24"/>
          <w:szCs w:val="24"/>
        </w:rPr>
        <w:t xml:space="preserve">questions. </w:t>
      </w:r>
    </w:p>
    <w:sectPr w:rsidR="00AB37B1" w:rsidRPr="008B54B5" w:rsidSect="00035C4E">
      <w:headerReference w:type="default" r:id="rId12"/>
      <w:footerReference w:type="default" r:id="rId13"/>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CB" w:rsidRDefault="00DE5FCB" w:rsidP="008B54B5">
      <w:pPr>
        <w:spacing w:after="0" w:line="240" w:lineRule="auto"/>
      </w:pPr>
      <w:r>
        <w:separator/>
      </w:r>
    </w:p>
  </w:endnote>
  <w:endnote w:type="continuationSeparator" w:id="0">
    <w:p w:rsidR="00DE5FCB" w:rsidRDefault="00DE5FCB" w:rsidP="008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51488"/>
      <w:docPartObj>
        <w:docPartGallery w:val="Page Numbers (Bottom of Page)"/>
        <w:docPartUnique/>
      </w:docPartObj>
    </w:sdtPr>
    <w:sdtEndPr>
      <w:rPr>
        <w:noProof/>
      </w:rPr>
    </w:sdtEndPr>
    <w:sdtContent>
      <w:p w:rsidR="00035C4E" w:rsidRDefault="00035C4E">
        <w:pPr>
          <w:pStyle w:val="Footer"/>
          <w:jc w:val="right"/>
        </w:pPr>
        <w:r>
          <w:fldChar w:fldCharType="begin"/>
        </w:r>
        <w:r>
          <w:instrText xml:space="preserve"> PAGE   \* MERGEFORMAT </w:instrText>
        </w:r>
        <w:r>
          <w:fldChar w:fldCharType="separate"/>
        </w:r>
        <w:r w:rsidR="001E45EF">
          <w:rPr>
            <w:noProof/>
          </w:rPr>
          <w:t>2</w:t>
        </w:r>
        <w:r>
          <w:rPr>
            <w:noProof/>
          </w:rPr>
          <w:fldChar w:fldCharType="end"/>
        </w:r>
      </w:p>
    </w:sdtContent>
  </w:sdt>
  <w:p w:rsidR="00035C4E" w:rsidRDefault="0003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CB" w:rsidRDefault="00DE5FCB" w:rsidP="008B54B5">
      <w:pPr>
        <w:spacing w:after="0" w:line="240" w:lineRule="auto"/>
      </w:pPr>
      <w:r>
        <w:separator/>
      </w:r>
    </w:p>
  </w:footnote>
  <w:footnote w:type="continuationSeparator" w:id="0">
    <w:p w:rsidR="00DE5FCB" w:rsidRDefault="00DE5FCB" w:rsidP="008B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0" w:type="dxa"/>
      <w:tblBorders>
        <w:top w:val="none" w:sz="0" w:space="0" w:color="auto"/>
        <w:left w:val="none" w:sz="0" w:space="0" w:color="auto"/>
        <w:bottom w:val="none" w:sz="0" w:space="0" w:color="auto"/>
        <w:right w:val="none" w:sz="0" w:space="0" w:color="auto"/>
        <w:insideH w:val="single" w:sz="12" w:space="0" w:color="002569"/>
        <w:insideV w:val="none" w:sz="0" w:space="0" w:color="auto"/>
      </w:tblBorders>
      <w:tblLook w:val="04A0" w:firstRow="1" w:lastRow="0" w:firstColumn="1" w:lastColumn="0" w:noHBand="0" w:noVBand="1"/>
    </w:tblPr>
    <w:tblGrid>
      <w:gridCol w:w="3440"/>
      <w:gridCol w:w="2813"/>
      <w:gridCol w:w="3107"/>
    </w:tblGrid>
    <w:tr w:rsidR="008B54B5" w:rsidTr="008B54B5">
      <w:trPr>
        <w:trHeight w:val="1430"/>
      </w:trPr>
      <w:tc>
        <w:tcPr>
          <w:tcW w:w="3978" w:type="dxa"/>
          <w:tcBorders>
            <w:top w:val="nil"/>
            <w:left w:val="nil"/>
            <w:bottom w:val="single" w:sz="12" w:space="0" w:color="002569"/>
            <w:right w:val="nil"/>
          </w:tcBorders>
          <w:vAlign w:val="bottom"/>
          <w:hideMark/>
        </w:tcPr>
        <w:p w:rsidR="008B54B5" w:rsidRDefault="008B54B5">
          <w:pPr>
            <w:rPr>
              <w:rFonts w:ascii="Arial" w:eastAsiaTheme="minorHAnsi" w:hAnsi="Arial" w:cs="Arial"/>
              <w:color w:val="002569"/>
              <w:sz w:val="16"/>
              <w:szCs w:val="16"/>
            </w:rPr>
          </w:pPr>
          <w:r>
            <w:rPr>
              <w:rFonts w:ascii="Arial" w:eastAsiaTheme="minorHAnsi" w:hAnsi="Arial" w:cs="Arial"/>
              <w:color w:val="002569"/>
              <w:sz w:val="16"/>
              <w:szCs w:val="16"/>
            </w:rPr>
            <w:t>Office of the Chief Financial Officer</w:t>
          </w:r>
        </w:p>
        <w:p w:rsidR="008B54B5" w:rsidRDefault="008B54B5">
          <w:pPr>
            <w:rPr>
              <w:rFonts w:ascii="Arial" w:eastAsiaTheme="minorHAnsi" w:hAnsi="Arial" w:cs="Arial"/>
              <w:color w:val="002569"/>
              <w:sz w:val="16"/>
              <w:szCs w:val="16"/>
            </w:rPr>
          </w:pPr>
          <w:r>
            <w:rPr>
              <w:rFonts w:ascii="Arial" w:eastAsiaTheme="minorHAnsi" w:hAnsi="Arial" w:cs="Arial"/>
              <w:color w:val="002569"/>
              <w:sz w:val="16"/>
              <w:szCs w:val="16"/>
            </w:rPr>
            <w:t>700 SW Harrison, Suite 300</w:t>
          </w:r>
        </w:p>
        <w:p w:rsidR="008B54B5" w:rsidRDefault="008B54B5">
          <w:pPr>
            <w:rPr>
              <w:rFonts w:ascii="Arial" w:eastAsiaTheme="minorHAnsi" w:hAnsi="Arial" w:cs="Arial"/>
              <w:color w:val="002569"/>
              <w:sz w:val="16"/>
              <w:szCs w:val="16"/>
            </w:rPr>
          </w:pPr>
          <w:r>
            <w:rPr>
              <w:rFonts w:ascii="Arial" w:eastAsiaTheme="minorHAnsi" w:hAnsi="Arial" w:cs="Arial"/>
              <w:color w:val="002569"/>
              <w:sz w:val="16"/>
              <w:szCs w:val="16"/>
            </w:rPr>
            <w:t>Topeka, KS  66603</w:t>
          </w:r>
        </w:p>
      </w:tc>
      <w:tc>
        <w:tcPr>
          <w:tcW w:w="2886" w:type="dxa"/>
          <w:tcBorders>
            <w:top w:val="nil"/>
            <w:left w:val="nil"/>
            <w:bottom w:val="single" w:sz="12" w:space="0" w:color="002569"/>
            <w:right w:val="nil"/>
          </w:tcBorders>
          <w:hideMark/>
        </w:tcPr>
        <w:p w:rsidR="008B54B5" w:rsidRDefault="008B54B5">
          <w:pPr>
            <w:widowControl w:val="0"/>
            <w:tabs>
              <w:tab w:val="center" w:pos="4680"/>
              <w:tab w:val="right" w:pos="9360"/>
            </w:tabs>
            <w:autoSpaceDE w:val="0"/>
            <w:autoSpaceDN w:val="0"/>
            <w:adjustRightInd w:val="0"/>
            <w:rPr>
              <w:rFonts w:eastAsiaTheme="minorHAnsi"/>
              <w:szCs w:val="24"/>
            </w:rPr>
          </w:pPr>
          <w:r>
            <w:rPr>
              <w:noProof/>
            </w:rPr>
            <w:drawing>
              <wp:inline distT="0" distB="0" distL="0" distR="0" wp14:anchorId="22D5E826" wp14:editId="0337C9D5">
                <wp:extent cx="1419225" cy="771525"/>
                <wp:effectExtent l="0" t="0" r="9525" b="9525"/>
                <wp:docPr id="1" name="Picture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71525"/>
                        </a:xfrm>
                        <a:prstGeom prst="rect">
                          <a:avLst/>
                        </a:prstGeom>
                        <a:noFill/>
                        <a:ln>
                          <a:noFill/>
                        </a:ln>
                      </pic:spPr>
                    </pic:pic>
                  </a:graphicData>
                </a:graphic>
              </wp:inline>
            </w:drawing>
          </w:r>
        </w:p>
      </w:tc>
      <w:tc>
        <w:tcPr>
          <w:tcW w:w="3432" w:type="dxa"/>
          <w:tcBorders>
            <w:top w:val="nil"/>
            <w:left w:val="nil"/>
            <w:bottom w:val="single" w:sz="12" w:space="0" w:color="002569"/>
            <w:right w:val="nil"/>
          </w:tcBorders>
          <w:vAlign w:val="bottom"/>
        </w:tcPr>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p>
        <w:p w:rsidR="008B54B5" w:rsidRDefault="008B54B5">
          <w:pPr>
            <w:jc w:val="right"/>
            <w:rPr>
              <w:rFonts w:ascii="Arial" w:eastAsiaTheme="minorHAnsi" w:hAnsi="Arial" w:cs="Arial"/>
              <w:color w:val="002569"/>
              <w:sz w:val="16"/>
              <w:szCs w:val="16"/>
            </w:rPr>
          </w:pPr>
          <w:r>
            <w:rPr>
              <w:rFonts w:ascii="Arial" w:eastAsiaTheme="minorHAnsi" w:hAnsi="Arial" w:cs="Arial"/>
              <w:color w:val="002569"/>
              <w:sz w:val="16"/>
              <w:szCs w:val="16"/>
            </w:rPr>
            <w:t>Phone: 785 – 296 – 2311</w:t>
          </w:r>
        </w:p>
        <w:p w:rsidR="008B54B5" w:rsidRDefault="008B54B5">
          <w:pPr>
            <w:jc w:val="right"/>
            <w:rPr>
              <w:rFonts w:ascii="Arial" w:eastAsiaTheme="minorHAnsi" w:hAnsi="Arial" w:cs="Arial"/>
              <w:color w:val="002569"/>
              <w:sz w:val="16"/>
              <w:szCs w:val="16"/>
            </w:rPr>
          </w:pPr>
          <w:r>
            <w:rPr>
              <w:rFonts w:ascii="Arial" w:eastAsiaTheme="minorHAnsi" w:hAnsi="Arial" w:cs="Arial"/>
              <w:color w:val="002569"/>
              <w:sz w:val="16"/>
              <w:szCs w:val="16"/>
            </w:rPr>
            <w:t xml:space="preserve">Fax: 785 – 296 – 1477 </w:t>
          </w:r>
        </w:p>
        <w:p w:rsidR="008B54B5" w:rsidRDefault="008B54B5">
          <w:pPr>
            <w:jc w:val="right"/>
            <w:rPr>
              <w:rFonts w:ascii="Arial" w:eastAsiaTheme="minorHAnsi" w:hAnsi="Arial" w:cs="Arial"/>
              <w:color w:val="002569"/>
              <w:sz w:val="16"/>
              <w:szCs w:val="16"/>
            </w:rPr>
          </w:pPr>
          <w:r>
            <w:rPr>
              <w:rFonts w:ascii="Arial" w:eastAsiaTheme="minorHAnsi" w:hAnsi="Arial" w:cs="Arial"/>
              <w:color w:val="002569"/>
              <w:sz w:val="16"/>
              <w:szCs w:val="16"/>
            </w:rPr>
            <w:t>www.admin.ks.gov</w:t>
          </w:r>
        </w:p>
      </w:tc>
    </w:tr>
    <w:tr w:rsidR="008B54B5" w:rsidTr="008B54B5">
      <w:trPr>
        <w:trHeight w:val="260"/>
      </w:trPr>
      <w:tc>
        <w:tcPr>
          <w:tcW w:w="3978" w:type="dxa"/>
          <w:tcBorders>
            <w:top w:val="single" w:sz="12" w:space="0" w:color="002569"/>
            <w:left w:val="nil"/>
            <w:bottom w:val="nil"/>
            <w:right w:val="nil"/>
          </w:tcBorders>
          <w:vAlign w:val="bottom"/>
        </w:tcPr>
        <w:p w:rsidR="008B54B5" w:rsidRDefault="008B54B5">
          <w:pPr>
            <w:rPr>
              <w:rFonts w:eastAsiaTheme="minorHAnsi"/>
              <w:color w:val="002569"/>
              <w:sz w:val="16"/>
              <w:szCs w:val="16"/>
            </w:rPr>
          </w:pPr>
        </w:p>
      </w:tc>
      <w:tc>
        <w:tcPr>
          <w:tcW w:w="2886" w:type="dxa"/>
          <w:tcBorders>
            <w:top w:val="single" w:sz="12" w:space="0" w:color="002569"/>
            <w:left w:val="nil"/>
            <w:bottom w:val="nil"/>
            <w:right w:val="nil"/>
          </w:tcBorders>
        </w:tcPr>
        <w:p w:rsidR="008B54B5" w:rsidRDefault="008B54B5">
          <w:pPr>
            <w:widowControl w:val="0"/>
            <w:tabs>
              <w:tab w:val="center" w:pos="4680"/>
              <w:tab w:val="right" w:pos="9360"/>
            </w:tabs>
            <w:autoSpaceDE w:val="0"/>
            <w:autoSpaceDN w:val="0"/>
            <w:adjustRightInd w:val="0"/>
            <w:rPr>
              <w:rFonts w:eastAsiaTheme="minorHAnsi"/>
              <w:szCs w:val="24"/>
            </w:rPr>
          </w:pPr>
        </w:p>
      </w:tc>
      <w:tc>
        <w:tcPr>
          <w:tcW w:w="3432" w:type="dxa"/>
          <w:tcBorders>
            <w:top w:val="single" w:sz="12" w:space="0" w:color="002569"/>
            <w:left w:val="nil"/>
            <w:bottom w:val="nil"/>
            <w:right w:val="nil"/>
          </w:tcBorders>
          <w:vAlign w:val="bottom"/>
        </w:tcPr>
        <w:p w:rsidR="008B54B5" w:rsidRDefault="008B54B5">
          <w:pPr>
            <w:jc w:val="center"/>
            <w:rPr>
              <w:rFonts w:eastAsiaTheme="minorHAnsi"/>
              <w:color w:val="002569"/>
              <w:sz w:val="16"/>
              <w:szCs w:val="16"/>
            </w:rPr>
          </w:pPr>
        </w:p>
      </w:tc>
    </w:tr>
  </w:tbl>
  <w:p w:rsidR="008B54B5" w:rsidRDefault="008B54B5" w:rsidP="008B5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KEze7QM3Cz2eniCZcPw7X5mTtlMw99OCaNwV1ni0Nn+KD6McJWgcF/EfgPWuEYb6u6WQiKVM2dHcfL3VjnXVg==" w:salt="x+A+TPAmcFNIcAWNuVSY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3B"/>
    <w:rsid w:val="00021907"/>
    <w:rsid w:val="00035C4E"/>
    <w:rsid w:val="0007043B"/>
    <w:rsid w:val="000757B6"/>
    <w:rsid w:val="001B7686"/>
    <w:rsid w:val="001C53B2"/>
    <w:rsid w:val="001E45EF"/>
    <w:rsid w:val="002217B9"/>
    <w:rsid w:val="002A3ED1"/>
    <w:rsid w:val="00386983"/>
    <w:rsid w:val="00551830"/>
    <w:rsid w:val="005F2B50"/>
    <w:rsid w:val="00623375"/>
    <w:rsid w:val="006A5D89"/>
    <w:rsid w:val="00707729"/>
    <w:rsid w:val="00742D3C"/>
    <w:rsid w:val="007D3A5D"/>
    <w:rsid w:val="00840549"/>
    <w:rsid w:val="00865268"/>
    <w:rsid w:val="008852EC"/>
    <w:rsid w:val="008B54B5"/>
    <w:rsid w:val="00915ABC"/>
    <w:rsid w:val="009555D7"/>
    <w:rsid w:val="00962B20"/>
    <w:rsid w:val="009E259E"/>
    <w:rsid w:val="00A33CAA"/>
    <w:rsid w:val="00AB37B1"/>
    <w:rsid w:val="00B2002C"/>
    <w:rsid w:val="00C0335C"/>
    <w:rsid w:val="00C31FB6"/>
    <w:rsid w:val="00CA2821"/>
    <w:rsid w:val="00CB5AEF"/>
    <w:rsid w:val="00CD37D3"/>
    <w:rsid w:val="00D202FE"/>
    <w:rsid w:val="00DD6AF1"/>
    <w:rsid w:val="00DE5FCB"/>
    <w:rsid w:val="00ED1CF7"/>
    <w:rsid w:val="00F615F1"/>
    <w:rsid w:val="00F7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CD5"/>
  <w15:docId w15:val="{30B20AC7-F046-4B14-AE85-A1A46D7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7043B"/>
    <w:pPr>
      <w:spacing w:before="100" w:beforeAutospacing="1" w:after="100" w:afterAutospacing="1" w:line="240" w:lineRule="auto"/>
      <w:outlineLvl w:val="1"/>
    </w:pPr>
    <w:rPr>
      <w:rFonts w:ascii="Verdana" w:eastAsia="Times New Roman" w:hAnsi="Verdan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043B"/>
    <w:rPr>
      <w:rFonts w:ascii="Verdana" w:eastAsia="Times New Roman" w:hAnsi="Verdana" w:cs="Times New Roman"/>
      <w:b/>
      <w:bCs/>
      <w:sz w:val="26"/>
      <w:szCs w:val="26"/>
    </w:rPr>
  </w:style>
  <w:style w:type="character" w:styleId="Hyperlink">
    <w:name w:val="Hyperlink"/>
    <w:uiPriority w:val="99"/>
    <w:unhideWhenUsed/>
    <w:rsid w:val="0007043B"/>
    <w:rPr>
      <w:color w:val="0000FF"/>
      <w:u w:val="single"/>
    </w:rPr>
  </w:style>
  <w:style w:type="paragraph" w:styleId="NormalWeb">
    <w:name w:val="Normal (Web)"/>
    <w:basedOn w:val="Normal"/>
    <w:uiPriority w:val="99"/>
    <w:unhideWhenUsed/>
    <w:rsid w:val="0007043B"/>
    <w:pPr>
      <w:spacing w:before="100" w:beforeAutospacing="1" w:after="100" w:afterAutospacing="1" w:line="240" w:lineRule="auto"/>
    </w:pPr>
    <w:rPr>
      <w:rFonts w:ascii="Times New Roman" w:eastAsia="Calibri" w:hAnsi="Times New Roman" w:cs="Times New Roman"/>
      <w:sz w:val="24"/>
      <w:szCs w:val="24"/>
    </w:rPr>
  </w:style>
  <w:style w:type="paragraph" w:customStyle="1" w:styleId="indent">
    <w:name w:val="indent"/>
    <w:basedOn w:val="Normal"/>
    <w:uiPriority w:val="99"/>
    <w:semiHidden/>
    <w:rsid w:val="0007043B"/>
    <w:pPr>
      <w:spacing w:before="100" w:beforeAutospacing="1" w:after="100" w:afterAutospacing="1" w:line="240" w:lineRule="auto"/>
      <w:ind w:left="720" w:right="720"/>
    </w:pPr>
    <w:rPr>
      <w:rFonts w:ascii="Times New Roman" w:eastAsia="Calibri" w:hAnsi="Times New Roman" w:cs="Times New Roman"/>
      <w:sz w:val="24"/>
      <w:szCs w:val="24"/>
    </w:rPr>
  </w:style>
  <w:style w:type="character" w:styleId="Strong">
    <w:name w:val="Strong"/>
    <w:basedOn w:val="DefaultParagraphFont"/>
    <w:uiPriority w:val="22"/>
    <w:qFormat/>
    <w:rsid w:val="0007043B"/>
    <w:rPr>
      <w:b/>
      <w:bCs/>
    </w:rPr>
  </w:style>
  <w:style w:type="character" w:styleId="FollowedHyperlink">
    <w:name w:val="FollowedHyperlink"/>
    <w:basedOn w:val="DefaultParagraphFont"/>
    <w:uiPriority w:val="99"/>
    <w:semiHidden/>
    <w:unhideWhenUsed/>
    <w:rsid w:val="000757B6"/>
    <w:rPr>
      <w:color w:val="800080" w:themeColor="followedHyperlink"/>
      <w:u w:val="single"/>
    </w:rPr>
  </w:style>
  <w:style w:type="paragraph" w:styleId="BalloonText">
    <w:name w:val="Balloon Text"/>
    <w:basedOn w:val="Normal"/>
    <w:link w:val="BalloonTextChar"/>
    <w:uiPriority w:val="99"/>
    <w:semiHidden/>
    <w:unhideWhenUsed/>
    <w:rsid w:val="00CD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D3"/>
    <w:rPr>
      <w:rFonts w:ascii="Segoe UI" w:hAnsi="Segoe UI" w:cs="Segoe UI"/>
      <w:sz w:val="18"/>
      <w:szCs w:val="18"/>
    </w:rPr>
  </w:style>
  <w:style w:type="paragraph" w:styleId="NoSpacing">
    <w:name w:val="No Spacing"/>
    <w:uiPriority w:val="1"/>
    <w:qFormat/>
    <w:rsid w:val="00DD6AF1"/>
    <w:pPr>
      <w:spacing w:after="0" w:line="240" w:lineRule="auto"/>
    </w:pPr>
  </w:style>
  <w:style w:type="paragraph" w:styleId="Header">
    <w:name w:val="header"/>
    <w:basedOn w:val="Normal"/>
    <w:link w:val="HeaderChar"/>
    <w:uiPriority w:val="99"/>
    <w:unhideWhenUsed/>
    <w:rsid w:val="008B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4B5"/>
  </w:style>
  <w:style w:type="paragraph" w:styleId="Footer">
    <w:name w:val="footer"/>
    <w:basedOn w:val="Normal"/>
    <w:link w:val="FooterChar"/>
    <w:uiPriority w:val="99"/>
    <w:unhideWhenUsed/>
    <w:rsid w:val="008B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B5"/>
  </w:style>
  <w:style w:type="table" w:customStyle="1" w:styleId="TableGrid1">
    <w:name w:val="Table Grid1"/>
    <w:basedOn w:val="TableNormal"/>
    <w:uiPriority w:val="59"/>
    <w:rsid w:val="008B54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3206">
      <w:bodyDiv w:val="1"/>
      <w:marLeft w:val="0"/>
      <w:marRight w:val="0"/>
      <w:marTop w:val="0"/>
      <w:marBottom w:val="0"/>
      <w:divBdr>
        <w:top w:val="none" w:sz="0" w:space="0" w:color="auto"/>
        <w:left w:val="none" w:sz="0" w:space="0" w:color="auto"/>
        <w:bottom w:val="none" w:sz="0" w:space="0" w:color="auto"/>
        <w:right w:val="none" w:sz="0" w:space="0" w:color="auto"/>
      </w:divBdr>
    </w:div>
    <w:div w:id="5461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ers.org/employers/war.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pers.org/employers/contributionrate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p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pers.org/employers/gasb.html" TargetMode="External"/><Relationship Id="rId4" Type="http://schemas.openxmlformats.org/officeDocument/2006/relationships/webSettings" Target="webSettings.xml"/><Relationship Id="rId9" Type="http://schemas.openxmlformats.org/officeDocument/2006/relationships/hyperlink" Target="http://www.kpers.org/employers/wa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70C8-EDCB-49F8-B62C-DAF166FA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Rbasinge</dc:creator>
  <cp:lastModifiedBy>Basinger, Roger [DACFO]</cp:lastModifiedBy>
  <cp:revision>6</cp:revision>
  <cp:lastPrinted>2017-08-10T16:30:00Z</cp:lastPrinted>
  <dcterms:created xsi:type="dcterms:W3CDTF">2017-08-11T12:54:00Z</dcterms:created>
  <dcterms:modified xsi:type="dcterms:W3CDTF">2017-08-11T13:13:00Z</dcterms:modified>
</cp:coreProperties>
</file>