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92" w:rsidRDefault="007A6992">
      <w:bookmarkStart w:id="0" w:name="_GoBack"/>
      <w:bookmarkEnd w:id="0"/>
      <w:r>
        <w:t xml:space="preserve">This brochure is meant as a reference guide to basic travel questions. It assumes the user is familiar with the "Employee Travel Expense Reimbursement Handbook" which can be found in its entirety at the following </w:t>
      </w:r>
      <w:r w:rsidRPr="00A42C68">
        <w:t xml:space="preserve">Internet site: </w:t>
      </w:r>
    </w:p>
    <w:p w:rsidR="005F2098" w:rsidRDefault="004D2EAF">
      <w:hyperlink r:id="rId7" w:history="1">
        <w:r w:rsidR="005F2098" w:rsidRPr="000F3E87">
          <w:rPr>
            <w:rStyle w:val="Hyperlink"/>
          </w:rPr>
          <w:t>http://www.admin.ks.gov/offices/chief-financial-officer/travel-information-for-state-employees</w:t>
        </w:r>
      </w:hyperlink>
    </w:p>
    <w:p w:rsidR="002D2DE6" w:rsidRDefault="002D2DE6"/>
    <w:p w:rsidR="007A6992" w:rsidRDefault="007A6992">
      <w:r>
        <w:t>Terms, policies and procedures have been shortened in order to fit within this guide.</w:t>
      </w:r>
    </w:p>
    <w:p w:rsidR="007A6992" w:rsidRDefault="007A6992"/>
    <w:p w:rsidR="007A6992" w:rsidRDefault="007A6992">
      <w:r>
        <w:rPr>
          <w:b/>
        </w:rPr>
        <w:t>Out-of-state and international travel</w:t>
      </w:r>
      <w:r>
        <w:t xml:space="preserve"> requires approval as prescribed by the agency head</w:t>
      </w:r>
      <w:r w:rsidR="003E1BAB">
        <w:t xml:space="preserve"> </w:t>
      </w:r>
      <w:r w:rsidR="006C3065">
        <w:t xml:space="preserve">in accordance with agency policy </w:t>
      </w:r>
      <w:r w:rsidR="003E1BAB">
        <w:t>and PM 3,817</w:t>
      </w:r>
      <w:r>
        <w:t>.</w:t>
      </w:r>
    </w:p>
    <w:p w:rsidR="007A6992" w:rsidRDefault="007A6992">
      <w:pPr>
        <w:pStyle w:val="Heading1"/>
        <w:rPr>
          <w:u w:val="single"/>
        </w:rPr>
      </w:pPr>
    </w:p>
    <w:p w:rsidR="007A6992" w:rsidRDefault="007A6992">
      <w:pPr>
        <w:pStyle w:val="Heading1"/>
        <w:rPr>
          <w:sz w:val="22"/>
          <w:u w:val="single"/>
        </w:rPr>
      </w:pPr>
      <w:r>
        <w:rPr>
          <w:sz w:val="22"/>
          <w:u w:val="single"/>
        </w:rPr>
        <w:t>TRANSPORTATION EXPENSES</w:t>
      </w:r>
    </w:p>
    <w:p w:rsidR="007A6992" w:rsidRDefault="007A6992">
      <w:pPr>
        <w:jc w:val="center"/>
        <w:rPr>
          <w:b/>
          <w:sz w:val="24"/>
          <w:u w:val="single"/>
        </w:rPr>
      </w:pPr>
    </w:p>
    <w:p w:rsidR="007A6992" w:rsidRDefault="00431C81">
      <w:pPr>
        <w:pStyle w:val="Heading2"/>
        <w:jc w:val="center"/>
        <w:rPr>
          <w:b w:val="0"/>
          <w:u w:val="single"/>
        </w:rPr>
      </w:pPr>
      <w:r>
        <w:rPr>
          <w:b w:val="0"/>
          <w:u w:val="single"/>
        </w:rPr>
        <w:t xml:space="preserve">Maximum </w:t>
      </w:r>
      <w:r w:rsidR="007A6992">
        <w:rPr>
          <w:b w:val="0"/>
          <w:u w:val="single"/>
        </w:rPr>
        <w:t xml:space="preserve">Mileage </w:t>
      </w:r>
      <w:r>
        <w:rPr>
          <w:b w:val="0"/>
          <w:u w:val="single"/>
        </w:rPr>
        <w:t>R</w:t>
      </w:r>
      <w:r w:rsidR="007A6992">
        <w:rPr>
          <w:b w:val="0"/>
          <w:u w:val="single"/>
        </w:rPr>
        <w:t>eimbursement</w:t>
      </w:r>
      <w:r>
        <w:rPr>
          <w:b w:val="0"/>
          <w:u w:val="single"/>
        </w:rPr>
        <w:t xml:space="preserve"> Allowable</w:t>
      </w:r>
    </w:p>
    <w:tbl>
      <w:tblPr>
        <w:tblW w:w="0" w:type="auto"/>
        <w:tblInd w:w="390" w:type="dxa"/>
        <w:tblLayout w:type="fixed"/>
        <w:tblCellMar>
          <w:left w:w="30" w:type="dxa"/>
          <w:right w:w="30" w:type="dxa"/>
        </w:tblCellMar>
        <w:tblLook w:val="0000" w:firstRow="0" w:lastRow="0" w:firstColumn="0" w:lastColumn="0" w:noHBand="0" w:noVBand="0"/>
      </w:tblPr>
      <w:tblGrid>
        <w:gridCol w:w="2610"/>
        <w:gridCol w:w="1080"/>
      </w:tblGrid>
      <w:tr w:rsidR="00431C81" w:rsidTr="00431C81">
        <w:trPr>
          <w:trHeight w:val="262"/>
        </w:trPr>
        <w:tc>
          <w:tcPr>
            <w:tcW w:w="2610" w:type="dxa"/>
          </w:tcPr>
          <w:p w:rsidR="00431C81" w:rsidRDefault="00431C81" w:rsidP="000165A6">
            <w:pPr>
              <w:rPr>
                <w:snapToGrid w:val="0"/>
                <w:color w:val="000000"/>
              </w:rPr>
            </w:pPr>
            <w:r>
              <w:rPr>
                <w:snapToGrid w:val="0"/>
                <w:color w:val="000000"/>
              </w:rPr>
              <w:t>Automobiles</w:t>
            </w:r>
          </w:p>
        </w:tc>
        <w:tc>
          <w:tcPr>
            <w:tcW w:w="1080" w:type="dxa"/>
          </w:tcPr>
          <w:p w:rsidR="00431C81" w:rsidRDefault="00431C81" w:rsidP="00D84701">
            <w:pPr>
              <w:rPr>
                <w:snapToGrid w:val="0"/>
                <w:color w:val="000000"/>
              </w:rPr>
            </w:pPr>
            <w:r>
              <w:rPr>
                <w:snapToGrid w:val="0"/>
                <w:color w:val="000000"/>
              </w:rPr>
              <w:t>$  .5</w:t>
            </w:r>
            <w:r w:rsidR="00D84701">
              <w:rPr>
                <w:snapToGrid w:val="0"/>
                <w:color w:val="000000"/>
              </w:rPr>
              <w:t>4</w:t>
            </w:r>
            <w:r>
              <w:rPr>
                <w:snapToGrid w:val="0"/>
                <w:color w:val="000000"/>
              </w:rPr>
              <w:t>/mile</w:t>
            </w:r>
          </w:p>
        </w:tc>
      </w:tr>
      <w:tr w:rsidR="007A6992">
        <w:trPr>
          <w:trHeight w:val="262"/>
        </w:trPr>
        <w:tc>
          <w:tcPr>
            <w:tcW w:w="2610" w:type="dxa"/>
          </w:tcPr>
          <w:p w:rsidR="007A6992" w:rsidRDefault="007A6992">
            <w:pPr>
              <w:rPr>
                <w:snapToGrid w:val="0"/>
                <w:color w:val="000000"/>
              </w:rPr>
            </w:pPr>
            <w:r>
              <w:rPr>
                <w:snapToGrid w:val="0"/>
                <w:color w:val="000000"/>
              </w:rPr>
              <w:t xml:space="preserve">Motorcycles </w:t>
            </w:r>
          </w:p>
        </w:tc>
        <w:tc>
          <w:tcPr>
            <w:tcW w:w="1080" w:type="dxa"/>
          </w:tcPr>
          <w:p w:rsidR="007A6992" w:rsidRDefault="002678B3" w:rsidP="002B2925">
            <w:pPr>
              <w:rPr>
                <w:snapToGrid w:val="0"/>
                <w:color w:val="000000"/>
              </w:rPr>
            </w:pPr>
            <w:r>
              <w:rPr>
                <w:snapToGrid w:val="0"/>
                <w:color w:val="000000"/>
              </w:rPr>
              <w:t xml:space="preserve">$  </w:t>
            </w:r>
            <w:r w:rsidR="003D4C85">
              <w:rPr>
                <w:snapToGrid w:val="0"/>
                <w:color w:val="000000"/>
              </w:rPr>
              <w:t>.</w:t>
            </w:r>
            <w:r w:rsidR="003719AF">
              <w:rPr>
                <w:snapToGrid w:val="0"/>
                <w:color w:val="000000"/>
              </w:rPr>
              <w:t>5</w:t>
            </w:r>
            <w:r w:rsidR="002B2925">
              <w:rPr>
                <w:snapToGrid w:val="0"/>
                <w:color w:val="000000"/>
              </w:rPr>
              <w:t>1</w:t>
            </w:r>
            <w:r w:rsidR="007A6992">
              <w:rPr>
                <w:snapToGrid w:val="0"/>
                <w:color w:val="000000"/>
              </w:rPr>
              <w:t>/mile</w:t>
            </w:r>
          </w:p>
        </w:tc>
      </w:tr>
      <w:tr w:rsidR="007A6992">
        <w:trPr>
          <w:trHeight w:val="262"/>
        </w:trPr>
        <w:tc>
          <w:tcPr>
            <w:tcW w:w="2610" w:type="dxa"/>
          </w:tcPr>
          <w:p w:rsidR="007A6992" w:rsidRDefault="00072C61">
            <w:pPr>
              <w:rPr>
                <w:snapToGrid w:val="0"/>
                <w:color w:val="000000"/>
              </w:rPr>
            </w:pPr>
            <w:r>
              <w:rPr>
                <w:snapToGrid w:val="0"/>
                <w:color w:val="000000"/>
              </w:rPr>
              <w:t>Planes</w:t>
            </w:r>
          </w:p>
        </w:tc>
        <w:tc>
          <w:tcPr>
            <w:tcW w:w="1080" w:type="dxa"/>
          </w:tcPr>
          <w:p w:rsidR="007A6992" w:rsidRDefault="00072C61" w:rsidP="002B2925">
            <w:pPr>
              <w:rPr>
                <w:snapToGrid w:val="0"/>
                <w:color w:val="000000"/>
              </w:rPr>
            </w:pPr>
            <w:r>
              <w:rPr>
                <w:snapToGrid w:val="0"/>
                <w:color w:val="000000"/>
              </w:rPr>
              <w:t>$1.</w:t>
            </w:r>
            <w:r w:rsidR="002B2925">
              <w:rPr>
                <w:snapToGrid w:val="0"/>
                <w:color w:val="000000"/>
              </w:rPr>
              <w:t>17</w:t>
            </w:r>
            <w:r w:rsidR="007D32F1">
              <w:rPr>
                <w:snapToGrid w:val="0"/>
                <w:color w:val="000000"/>
              </w:rPr>
              <w:t>/mile</w:t>
            </w:r>
          </w:p>
        </w:tc>
      </w:tr>
      <w:tr w:rsidR="007A6992">
        <w:trPr>
          <w:trHeight w:val="262"/>
        </w:trPr>
        <w:tc>
          <w:tcPr>
            <w:tcW w:w="2610" w:type="dxa"/>
          </w:tcPr>
          <w:p w:rsidR="007A6992" w:rsidRDefault="00072C61">
            <w:pPr>
              <w:rPr>
                <w:snapToGrid w:val="0"/>
                <w:color w:val="000000"/>
              </w:rPr>
            </w:pPr>
            <w:r>
              <w:rPr>
                <w:snapToGrid w:val="0"/>
                <w:color w:val="000000"/>
              </w:rPr>
              <w:t>Moving</w:t>
            </w:r>
          </w:p>
        </w:tc>
        <w:tc>
          <w:tcPr>
            <w:tcW w:w="1080" w:type="dxa"/>
          </w:tcPr>
          <w:p w:rsidR="007A6992" w:rsidRDefault="002F3C70" w:rsidP="00431C81">
            <w:pPr>
              <w:rPr>
                <w:snapToGrid w:val="0"/>
                <w:color w:val="000000"/>
              </w:rPr>
            </w:pPr>
            <w:r>
              <w:rPr>
                <w:snapToGrid w:val="0"/>
                <w:color w:val="000000"/>
              </w:rPr>
              <w:t>$</w:t>
            </w:r>
            <w:r w:rsidR="00072C61">
              <w:rPr>
                <w:snapToGrid w:val="0"/>
                <w:color w:val="000000"/>
              </w:rPr>
              <w:t xml:space="preserve"> .</w:t>
            </w:r>
            <w:r w:rsidR="00D84701">
              <w:rPr>
                <w:snapToGrid w:val="0"/>
                <w:color w:val="000000"/>
              </w:rPr>
              <w:t>19</w:t>
            </w:r>
            <w:r w:rsidR="00072C61">
              <w:rPr>
                <w:snapToGrid w:val="0"/>
                <w:color w:val="000000"/>
              </w:rPr>
              <w:t xml:space="preserve"> </w:t>
            </w:r>
            <w:r w:rsidR="007A6992">
              <w:rPr>
                <w:snapToGrid w:val="0"/>
                <w:color w:val="000000"/>
              </w:rPr>
              <w:t>/mile</w:t>
            </w:r>
          </w:p>
          <w:p w:rsidR="00072C61" w:rsidRDefault="00072C61" w:rsidP="00431C81">
            <w:pPr>
              <w:rPr>
                <w:snapToGrid w:val="0"/>
                <w:color w:val="000000"/>
              </w:rPr>
            </w:pPr>
          </w:p>
        </w:tc>
      </w:tr>
    </w:tbl>
    <w:p w:rsidR="002F3C70" w:rsidRPr="002678B3" w:rsidRDefault="007A6992">
      <w:pPr>
        <w:tabs>
          <w:tab w:val="left" w:pos="0"/>
          <w:tab w:val="left" w:pos="720"/>
          <w:tab w:val="left" w:pos="1260"/>
        </w:tabs>
      </w:pPr>
      <w:r>
        <w:t>Mileage allowed within Kansas</w:t>
      </w:r>
      <w:r w:rsidR="002F3C70">
        <w:t xml:space="preserve"> for motorcycles and automobiles</w:t>
      </w:r>
      <w:r>
        <w:t xml:space="preserve"> is based on the most direct route as listed on the Kansas Department of Transportation distance chart.</w:t>
      </w:r>
      <w:r w:rsidR="002F3C70">
        <w:t xml:space="preserve">  </w:t>
      </w:r>
      <w:r w:rsidR="002678B3" w:rsidRPr="002678B3">
        <w:t>Travel by privately owned airplane should use air mile distances (as the crow flies).  An acceptable site for verifying the</w:t>
      </w:r>
      <w:r w:rsidR="002678B3">
        <w:t xml:space="preserve"> air</w:t>
      </w:r>
      <w:r w:rsidR="002678B3" w:rsidRPr="002678B3">
        <w:t xml:space="preserve"> mileage is </w:t>
      </w:r>
      <w:hyperlink r:id="rId8" w:history="1">
        <w:r w:rsidR="002678B3" w:rsidRPr="003D4C85">
          <w:rPr>
            <w:rStyle w:val="Hyperlink"/>
          </w:rPr>
          <w:t>http://www.indo.com/distance/</w:t>
        </w:r>
      </w:hyperlink>
    </w:p>
    <w:p w:rsidR="007A6992" w:rsidRDefault="007A6992">
      <w:pPr>
        <w:pStyle w:val="Heading3"/>
      </w:pPr>
    </w:p>
    <w:p w:rsidR="007A6992" w:rsidRDefault="007A6992">
      <w:pPr>
        <w:pStyle w:val="Heading3"/>
      </w:pPr>
      <w:r>
        <w:t>Airfare</w:t>
      </w:r>
    </w:p>
    <w:p w:rsidR="007A6992" w:rsidRDefault="007A6992">
      <w:pPr>
        <w:pStyle w:val="Heading4"/>
      </w:pPr>
      <w:r>
        <w:rPr>
          <w:u w:val="none"/>
        </w:rPr>
        <w:t>Airline tickets for travel within the United States may be purchased using the agency’s</w:t>
      </w:r>
      <w:r w:rsidR="001053AB">
        <w:rPr>
          <w:u w:val="none"/>
        </w:rPr>
        <w:t xml:space="preserve"> appropriate </w:t>
      </w:r>
      <w:proofErr w:type="spellStart"/>
      <w:r w:rsidR="001053AB">
        <w:rPr>
          <w:u w:val="none"/>
        </w:rPr>
        <w:t>cardless</w:t>
      </w:r>
      <w:proofErr w:type="spellEnd"/>
      <w:r w:rsidR="001053AB">
        <w:rPr>
          <w:u w:val="none"/>
        </w:rPr>
        <w:t xml:space="preserve"> </w:t>
      </w:r>
      <w:r w:rsidR="00A0241D">
        <w:rPr>
          <w:u w:val="none"/>
        </w:rPr>
        <w:t>Procurement Card (</w:t>
      </w:r>
      <w:proofErr w:type="spellStart"/>
      <w:r w:rsidR="00C958A9">
        <w:rPr>
          <w:u w:val="none"/>
        </w:rPr>
        <w:t>cardless</w:t>
      </w:r>
      <w:proofErr w:type="spellEnd"/>
      <w:r w:rsidR="00C958A9">
        <w:rPr>
          <w:u w:val="none"/>
        </w:rPr>
        <w:t xml:space="preserve"> P-Card</w:t>
      </w:r>
      <w:r w:rsidR="00A0241D">
        <w:rPr>
          <w:u w:val="none"/>
        </w:rPr>
        <w:t>)</w:t>
      </w:r>
      <w:r>
        <w:rPr>
          <w:u w:val="none"/>
        </w:rPr>
        <w:t xml:space="preserve"> and in accordance with the agency travel policy. </w:t>
      </w:r>
      <w:r w:rsidR="00C958A9">
        <w:rPr>
          <w:u w:val="none"/>
        </w:rPr>
        <w:t>A</w:t>
      </w:r>
      <w:r>
        <w:rPr>
          <w:u w:val="none"/>
        </w:rPr>
        <w:t>irfare can also be charged to an employee’s personal credit card</w:t>
      </w:r>
      <w:r w:rsidR="003E1BAB">
        <w:rPr>
          <w:u w:val="none"/>
        </w:rPr>
        <w:t xml:space="preserve"> however,</w:t>
      </w:r>
      <w:r>
        <w:rPr>
          <w:u w:val="none"/>
        </w:rPr>
        <w:t xml:space="preserve"> the traveler will NOT be reimbursed for that airfare prior to the completion of the related travel.  As travelers are making reservations through ticket outlets other than the State Travel Center, they need to be aware that air carriers have varying policies regarding the presentation of the actual credit card used to purchase airfare at the airport.  When a traveler is combining personal travel and business travel, the employee must pay for the airline tickets and be reimbursed for the business portion of the trip. For example, when buying two for one </w:t>
      </w:r>
      <w:proofErr w:type="gramStart"/>
      <w:r>
        <w:rPr>
          <w:u w:val="none"/>
        </w:rPr>
        <w:t>tickets</w:t>
      </w:r>
      <w:proofErr w:type="gramEnd"/>
      <w:r w:rsidR="00062446">
        <w:rPr>
          <w:u w:val="none"/>
        </w:rPr>
        <w:t>,</w:t>
      </w:r>
      <w:r>
        <w:rPr>
          <w:u w:val="none"/>
        </w:rPr>
        <w:t xml:space="preserve"> (where one </w:t>
      </w:r>
      <w:r>
        <w:rPr>
          <w:u w:val="none"/>
        </w:rPr>
        <w:lastRenderedPageBreak/>
        <w:t>ticket is for personal use) the</w:t>
      </w:r>
      <w:r>
        <w:t xml:space="preserve"> </w:t>
      </w:r>
      <w:r>
        <w:rPr>
          <w:u w:val="none"/>
        </w:rPr>
        <w:t>state will reimburse the traveler for half the price of the ticket.  Reimbursement requires the passenger copy of the airline ticket</w:t>
      </w:r>
      <w:r w:rsidR="0004524A">
        <w:rPr>
          <w:u w:val="none"/>
        </w:rPr>
        <w:t xml:space="preserve"> or a copy of the booked itinerary from the Internet</w:t>
      </w:r>
      <w:r>
        <w:rPr>
          <w:u w:val="none"/>
        </w:rPr>
        <w:t>.</w:t>
      </w:r>
    </w:p>
    <w:p w:rsidR="007A6992" w:rsidRDefault="007A6992"/>
    <w:p w:rsidR="007A6992" w:rsidRDefault="007A6992">
      <w:pPr>
        <w:pStyle w:val="Heading3"/>
        <w:tabs>
          <w:tab w:val="clear" w:pos="0"/>
          <w:tab w:val="clear" w:pos="720"/>
          <w:tab w:val="clear" w:pos="1260"/>
        </w:tabs>
      </w:pPr>
      <w:r>
        <w:t>Car Rental</w:t>
      </w:r>
    </w:p>
    <w:p w:rsidR="007A6992" w:rsidRDefault="007A6992">
      <w:r>
        <w:t xml:space="preserve">Car rental reservations should be made in accordance with the agency’s travel policy.   Reservations for in-state car rental should be made with </w:t>
      </w:r>
      <w:r w:rsidR="001D5B79">
        <w:t>Hertz</w:t>
      </w:r>
      <w:r>
        <w:t xml:space="preserve"> and charged to the agency’s</w:t>
      </w:r>
      <w:r w:rsidR="007507DE">
        <w:t xml:space="preserve"> appropriate </w:t>
      </w:r>
      <w:proofErr w:type="spellStart"/>
      <w:r w:rsidR="001053AB">
        <w:t>cardless</w:t>
      </w:r>
      <w:proofErr w:type="spellEnd"/>
      <w:r w:rsidR="00A0241D">
        <w:t xml:space="preserve"> </w:t>
      </w:r>
      <w:r w:rsidR="00C958A9">
        <w:t>P-Card</w:t>
      </w:r>
      <w:r>
        <w:t>.  Employees renting cars out-of-state are reimbursed by submitting the official receipt for the rental or charter with the travel claim form. Personal accident insurance (PAI), personal effects insurance (PEI), and other supplemental liability insurance are considered personal expenses and are not reimbursable.</w:t>
      </w:r>
    </w:p>
    <w:p w:rsidR="00543A11" w:rsidRDefault="00543A11" w:rsidP="00DB262D"/>
    <w:p w:rsidR="00DB262D" w:rsidRPr="00DB262D" w:rsidRDefault="00543A11" w:rsidP="00DB262D">
      <w:r>
        <w:t>I</w:t>
      </w:r>
      <w:r w:rsidR="00DB262D" w:rsidRPr="00DB262D">
        <w:t xml:space="preserve">nformation on insurance can be found </w:t>
      </w:r>
      <w:r w:rsidR="006C3C4D">
        <w:t xml:space="preserve">under Insurance at </w:t>
      </w:r>
      <w:hyperlink r:id="rId9" w:history="1">
        <w:r w:rsidR="006C3C4D" w:rsidRPr="00C711BA">
          <w:rPr>
            <w:rStyle w:val="Hyperlink"/>
          </w:rPr>
          <w:t>http://www.admin.ks.gov/offices/ofpm/state-agency-vehicle-usage</w:t>
        </w:r>
      </w:hyperlink>
      <w:r w:rsidR="00DB262D" w:rsidRPr="00DB262D">
        <w:t>.</w:t>
      </w:r>
    </w:p>
    <w:p w:rsidR="00DB262D" w:rsidRPr="00DB262D" w:rsidRDefault="00DB262D" w:rsidP="00DB262D"/>
    <w:p w:rsidR="00DB262D" w:rsidRPr="00DB262D" w:rsidRDefault="00DB262D" w:rsidP="00DB262D">
      <w:r w:rsidRPr="00DB262D">
        <w:t xml:space="preserve">Information on accident reporting can be found </w:t>
      </w:r>
      <w:r w:rsidR="006C3C4D">
        <w:t xml:space="preserve">under ACCIDENTS </w:t>
      </w:r>
      <w:r w:rsidRPr="00DB262D">
        <w:t xml:space="preserve">at </w:t>
      </w:r>
      <w:hyperlink r:id="rId10" w:history="1">
        <w:r w:rsidR="006C3C4D" w:rsidRPr="00C711BA">
          <w:rPr>
            <w:rStyle w:val="Hyperlink"/>
          </w:rPr>
          <w:t>http://www.admin.ks.gov/offices/ofpm/state-agency-vehicle-usage</w:t>
        </w:r>
      </w:hyperlink>
      <w:r w:rsidRPr="00DB262D">
        <w:t>.</w:t>
      </w:r>
    </w:p>
    <w:p w:rsidR="007A6992" w:rsidRDefault="007A6992">
      <w:pPr>
        <w:rPr>
          <w:sz w:val="16"/>
        </w:rPr>
      </w:pPr>
    </w:p>
    <w:p w:rsidR="007A6992" w:rsidRDefault="007A6992">
      <w:pPr>
        <w:pStyle w:val="Heading5"/>
        <w:rPr>
          <w:sz w:val="22"/>
        </w:rPr>
      </w:pPr>
      <w:r>
        <w:rPr>
          <w:sz w:val="22"/>
        </w:rPr>
        <w:t>SUBSISTENCE EXPENSE</w:t>
      </w:r>
    </w:p>
    <w:p w:rsidR="007A6992" w:rsidRDefault="007A6992"/>
    <w:p w:rsidR="00ED01F9" w:rsidRDefault="00ED01F9">
      <w:r>
        <w:t xml:space="preserve">Subsistence rates will consist of a standard subsistence rate and non-standard area subsistence rates.  The standard rate </w:t>
      </w:r>
      <w:r w:rsidR="00C7506F">
        <w:t xml:space="preserve">(or “other” location rate) </w:t>
      </w:r>
      <w:r>
        <w:t>is used except when the travel location is specified as a non-standard area, in which case the subsistence rate for that non-standard area is used.</w:t>
      </w:r>
      <w:r w:rsidR="006E4611">
        <w:t xml:space="preserve">  See “SOURCE OF SUBSISTENCE RATES” in this travel reimbursement summary for more information on subsistence rates.</w:t>
      </w:r>
    </w:p>
    <w:p w:rsidR="00ED01F9" w:rsidRDefault="00ED01F9"/>
    <w:p w:rsidR="007A6992" w:rsidRDefault="007A6992">
      <w:pPr>
        <w:pStyle w:val="Heading3"/>
        <w:tabs>
          <w:tab w:val="clear" w:pos="0"/>
          <w:tab w:val="clear" w:pos="720"/>
          <w:tab w:val="clear" w:pos="1260"/>
        </w:tabs>
      </w:pPr>
      <w:r>
        <w:t>Meal</w:t>
      </w:r>
      <w:r w:rsidR="00A05BFE">
        <w:t xml:space="preserve">s &amp; Incidental </w:t>
      </w:r>
      <w:r>
        <w:t xml:space="preserve">Expense </w:t>
      </w:r>
      <w:r w:rsidR="00A05BFE">
        <w:t xml:space="preserve">(M&amp;IE) </w:t>
      </w:r>
      <w:r>
        <w:t>Reimbursement</w:t>
      </w:r>
    </w:p>
    <w:p w:rsidR="0057534A" w:rsidRDefault="006B5EFE" w:rsidP="00D84701">
      <w:pPr>
        <w:tabs>
          <w:tab w:val="left" w:pos="3240"/>
        </w:tabs>
      </w:pPr>
      <w:r>
        <w:t xml:space="preserve">On the day of departure and the day in which the employee returns to the official station or domicile, </w:t>
      </w:r>
      <w:r w:rsidR="0057534A">
        <w:t>M</w:t>
      </w:r>
      <w:r w:rsidR="00A05BFE">
        <w:t>&amp;IE</w:t>
      </w:r>
      <w:r w:rsidR="0057534A">
        <w:t xml:space="preserve"> allowance </w:t>
      </w:r>
      <w:r>
        <w:t>is</w:t>
      </w:r>
      <w:r w:rsidR="0057534A">
        <w:t xml:space="preserve"> reimbursed as follows:</w:t>
      </w:r>
      <w:r>
        <w:tab/>
      </w:r>
      <w:r w:rsidR="00AF5388">
        <w:tab/>
      </w:r>
      <w:r w:rsidR="00AF5388">
        <w:tab/>
      </w:r>
    </w:p>
    <w:p w:rsidR="00590607" w:rsidRDefault="00590607" w:rsidP="00D84701">
      <w:pPr>
        <w:tabs>
          <w:tab w:val="left" w:pos="3240"/>
        </w:tabs>
      </w:pPr>
    </w:p>
    <w:p w:rsidR="00590607" w:rsidRDefault="00590607" w:rsidP="00D84701">
      <w:pPr>
        <w:tabs>
          <w:tab w:val="left" w:pos="3240"/>
        </w:tabs>
      </w:pPr>
    </w:p>
    <w:p w:rsidR="00590607" w:rsidRDefault="00590607" w:rsidP="00D84701">
      <w:pPr>
        <w:tabs>
          <w:tab w:val="left" w:pos="3240"/>
        </w:tabs>
      </w:pPr>
    </w:p>
    <w:p w:rsidR="00590607" w:rsidRDefault="00590607" w:rsidP="00D84701">
      <w:pPr>
        <w:tabs>
          <w:tab w:val="left" w:pos="3240"/>
        </w:tabs>
      </w:pPr>
    </w:p>
    <w:p w:rsidR="00590607" w:rsidRDefault="00590607" w:rsidP="00D84701">
      <w:pPr>
        <w:tabs>
          <w:tab w:val="left" w:pos="3240"/>
        </w:tabs>
      </w:pPr>
    </w:p>
    <w:p w:rsidR="00E01909" w:rsidRPr="00E01909" w:rsidRDefault="00E01909" w:rsidP="00D84701">
      <w:pPr>
        <w:tabs>
          <w:tab w:val="left" w:pos="540"/>
          <w:tab w:val="left" w:pos="3240"/>
          <w:tab w:val="left" w:pos="3330"/>
        </w:tabs>
        <w:rPr>
          <w:u w:val="single"/>
        </w:rPr>
      </w:pPr>
      <w:r w:rsidRPr="00D84701">
        <w:lastRenderedPageBreak/>
        <w:tab/>
      </w:r>
      <w:r>
        <w:tab/>
      </w:r>
      <w:r w:rsidRPr="00D84701">
        <w:rPr>
          <w:u w:val="single"/>
        </w:rPr>
        <w:t>% of M&amp;IE</w:t>
      </w:r>
    </w:p>
    <w:p w:rsidR="00E01909" w:rsidRPr="0018683C" w:rsidRDefault="00E01909" w:rsidP="00D84701">
      <w:pPr>
        <w:tabs>
          <w:tab w:val="left" w:pos="2790"/>
          <w:tab w:val="left" w:pos="3060"/>
          <w:tab w:val="left" w:pos="3780"/>
        </w:tabs>
      </w:pPr>
      <w:r>
        <w:tab/>
      </w:r>
      <w:r>
        <w:tab/>
        <w:t>Day of</w:t>
      </w:r>
      <w:r>
        <w:tab/>
        <w:t>Day of</w:t>
      </w:r>
    </w:p>
    <w:p w:rsidR="00E01909" w:rsidRPr="0018683C" w:rsidRDefault="00E01909">
      <w:pPr>
        <w:tabs>
          <w:tab w:val="left" w:pos="180"/>
          <w:tab w:val="left" w:pos="1890"/>
          <w:tab w:val="left" w:pos="2160"/>
          <w:tab w:val="left" w:pos="2970"/>
          <w:tab w:val="left" w:pos="3060"/>
          <w:tab w:val="left" w:pos="3420"/>
          <w:tab w:val="left" w:pos="3870"/>
        </w:tabs>
      </w:pPr>
      <w:r w:rsidRPr="0018683C">
        <w:rPr>
          <w:u w:val="single"/>
        </w:rPr>
        <w:tab/>
        <w:t xml:space="preserve">Time of departure  </w:t>
      </w:r>
      <w:r w:rsidRPr="0018683C">
        <w:t xml:space="preserve"> </w:t>
      </w:r>
      <w:r w:rsidRPr="0018683C">
        <w:tab/>
      </w:r>
      <w:r w:rsidRPr="0018683C">
        <w:rPr>
          <w:u w:val="single"/>
        </w:rPr>
        <w:t>Quarter Day</w:t>
      </w:r>
      <w:r w:rsidRPr="0018683C">
        <w:t xml:space="preserve"> </w:t>
      </w:r>
      <w:r w:rsidRPr="0018683C">
        <w:tab/>
      </w:r>
      <w:r w:rsidRPr="0018683C">
        <w:rPr>
          <w:u w:val="single"/>
        </w:rPr>
        <w:t>Departure</w:t>
      </w:r>
      <w:r w:rsidRPr="0018683C">
        <w:tab/>
      </w:r>
      <w:r w:rsidRPr="0018683C">
        <w:rPr>
          <w:u w:val="single"/>
        </w:rPr>
        <w:t>Return</w:t>
      </w:r>
    </w:p>
    <w:p w:rsidR="00E01909" w:rsidRPr="0018683C" w:rsidRDefault="00E01909" w:rsidP="00D84701">
      <w:pPr>
        <w:tabs>
          <w:tab w:val="left" w:pos="1980"/>
          <w:tab w:val="left" w:pos="3060"/>
          <w:tab w:val="left" w:pos="3690"/>
          <w:tab w:val="left" w:pos="3960"/>
          <w:tab w:val="left" w:pos="4050"/>
        </w:tabs>
      </w:pPr>
      <w:r w:rsidRPr="0018683C">
        <w:t xml:space="preserve">12:00 AM - 5:59 AM </w:t>
      </w:r>
      <w:r w:rsidRPr="0018683C">
        <w:tab/>
        <w:t xml:space="preserve">Quarter 1 </w:t>
      </w:r>
      <w:r w:rsidRPr="0018683C">
        <w:tab/>
        <w:t>100%</w:t>
      </w:r>
      <w:r w:rsidRPr="0018683C">
        <w:tab/>
      </w:r>
      <w:r w:rsidRPr="0018683C">
        <w:tab/>
        <w:t>25%</w:t>
      </w:r>
    </w:p>
    <w:p w:rsidR="00E01909" w:rsidRPr="0018683C" w:rsidRDefault="00E01909" w:rsidP="00D84701">
      <w:pPr>
        <w:tabs>
          <w:tab w:val="left" w:pos="1980"/>
          <w:tab w:val="left" w:pos="3150"/>
          <w:tab w:val="left" w:pos="3960"/>
        </w:tabs>
      </w:pPr>
      <w:r w:rsidRPr="0018683C">
        <w:t xml:space="preserve">6:00 AM - 11:59 AM </w:t>
      </w:r>
      <w:r w:rsidRPr="0018683C">
        <w:tab/>
        <w:t xml:space="preserve">Quarter 2 </w:t>
      </w:r>
      <w:r w:rsidRPr="0018683C">
        <w:tab/>
        <w:t>75%</w:t>
      </w:r>
      <w:r w:rsidRPr="0018683C">
        <w:tab/>
        <w:t>50%</w:t>
      </w:r>
    </w:p>
    <w:p w:rsidR="00E01909" w:rsidRPr="0018683C" w:rsidRDefault="00E01909" w:rsidP="00D84701">
      <w:pPr>
        <w:tabs>
          <w:tab w:val="left" w:pos="1980"/>
          <w:tab w:val="left" w:pos="3150"/>
          <w:tab w:val="left" w:pos="3780"/>
          <w:tab w:val="left" w:pos="3960"/>
        </w:tabs>
      </w:pPr>
      <w:r w:rsidRPr="0018683C">
        <w:t>12:00 PM - 5:59 PM</w:t>
      </w:r>
      <w:r w:rsidRPr="0018683C">
        <w:tab/>
        <w:t xml:space="preserve">Quarter 3 </w:t>
      </w:r>
      <w:r w:rsidRPr="0018683C">
        <w:tab/>
        <w:t>50%</w:t>
      </w:r>
      <w:r w:rsidRPr="0018683C">
        <w:tab/>
      </w:r>
      <w:r w:rsidRPr="0018683C">
        <w:tab/>
        <w:t>75%</w:t>
      </w:r>
    </w:p>
    <w:p w:rsidR="00E01909" w:rsidRDefault="00E01909" w:rsidP="00D84701">
      <w:pPr>
        <w:tabs>
          <w:tab w:val="left" w:pos="1980"/>
          <w:tab w:val="left" w:pos="2070"/>
          <w:tab w:val="left" w:pos="3150"/>
          <w:tab w:val="left" w:pos="3330"/>
          <w:tab w:val="left" w:pos="3870"/>
        </w:tabs>
      </w:pPr>
      <w:r w:rsidRPr="0018683C">
        <w:t>6:00 PM - 11:59 PM</w:t>
      </w:r>
      <w:r w:rsidRPr="0018683C">
        <w:tab/>
        <w:t>Quarter 4</w:t>
      </w:r>
      <w:r w:rsidRPr="0018683C">
        <w:tab/>
        <w:t>25%</w:t>
      </w:r>
      <w:r w:rsidRPr="0018683C">
        <w:tab/>
        <w:t>100%</w:t>
      </w:r>
    </w:p>
    <w:p w:rsidR="00E01909" w:rsidRDefault="00E01909"/>
    <w:p w:rsidR="00566B80" w:rsidRDefault="007A6992">
      <w:r>
        <w:t>M</w:t>
      </w:r>
      <w:r w:rsidR="00A05BFE">
        <w:t>&amp;IE</w:t>
      </w:r>
      <w:r>
        <w:t xml:space="preserve"> Allowance Rate</w:t>
      </w:r>
      <w:r w:rsidR="0004524A">
        <w:t xml:space="preserve"> </w:t>
      </w:r>
      <w:r>
        <w:t xml:space="preserve">(includes </w:t>
      </w:r>
      <w:r w:rsidR="00170841">
        <w:t xml:space="preserve">charges for meals, taxes, and </w:t>
      </w:r>
      <w:r>
        <w:t xml:space="preserve">all </w:t>
      </w:r>
      <w:r w:rsidR="00170841">
        <w:t>fees and tips to waiters, hotel porters, bellhops, doormen, maids and dining room stewards</w:t>
      </w:r>
      <w:r>
        <w:t xml:space="preserve">): </w:t>
      </w:r>
    </w:p>
    <w:p w:rsidR="007A6992" w:rsidRDefault="007A6992">
      <w:r>
        <w:t xml:space="preserve">        </w:t>
      </w:r>
    </w:p>
    <w:tbl>
      <w:tblPr>
        <w:tblW w:w="3600" w:type="dxa"/>
        <w:tblInd w:w="390" w:type="dxa"/>
        <w:tblLayout w:type="fixed"/>
        <w:tblCellMar>
          <w:left w:w="30" w:type="dxa"/>
          <w:right w:w="30" w:type="dxa"/>
        </w:tblCellMar>
        <w:tblLook w:val="0000" w:firstRow="0" w:lastRow="0" w:firstColumn="0" w:lastColumn="0" w:noHBand="0" w:noVBand="0"/>
      </w:tblPr>
      <w:tblGrid>
        <w:gridCol w:w="2579"/>
        <w:gridCol w:w="1021"/>
      </w:tblGrid>
      <w:tr w:rsidR="00566B80" w:rsidRPr="00DF2B49" w:rsidTr="00D84701">
        <w:trPr>
          <w:trHeight w:val="262"/>
        </w:trPr>
        <w:tc>
          <w:tcPr>
            <w:tcW w:w="2579" w:type="dxa"/>
          </w:tcPr>
          <w:p w:rsidR="00566B80" w:rsidRPr="00E85B25" w:rsidRDefault="00566B80" w:rsidP="00566B80">
            <w:pPr>
              <w:ind w:left="-30"/>
              <w:rPr>
                <w:snapToGrid w:val="0"/>
                <w:color w:val="000000"/>
              </w:rPr>
            </w:pPr>
            <w:r w:rsidRPr="00D84701">
              <w:rPr>
                <w:snapToGrid w:val="0"/>
                <w:color w:val="000000"/>
              </w:rPr>
              <w:t>Standard M&amp;IE Allowance</w:t>
            </w:r>
          </w:p>
        </w:tc>
        <w:tc>
          <w:tcPr>
            <w:tcW w:w="1021" w:type="dxa"/>
          </w:tcPr>
          <w:p w:rsidR="00566B80" w:rsidRPr="00566B80" w:rsidRDefault="00566B80" w:rsidP="00CD2421">
            <w:pPr>
              <w:jc w:val="right"/>
              <w:rPr>
                <w:snapToGrid w:val="0"/>
                <w:color w:val="000000"/>
              </w:rPr>
            </w:pPr>
            <w:r w:rsidRPr="00566B80">
              <w:rPr>
                <w:snapToGrid w:val="0"/>
                <w:color w:val="000000"/>
              </w:rPr>
              <w:t xml:space="preserve">$  </w:t>
            </w:r>
            <w:r w:rsidRPr="00D84701">
              <w:rPr>
                <w:snapToGrid w:val="0"/>
                <w:color w:val="000000"/>
              </w:rPr>
              <w:t>5</w:t>
            </w:r>
            <w:r w:rsidRPr="00CD2421">
              <w:rPr>
                <w:snapToGrid w:val="0"/>
                <w:color w:val="000000"/>
              </w:rPr>
              <w:t>1.00</w:t>
            </w:r>
            <w:r w:rsidRPr="00E85B25">
              <w:rPr>
                <w:snapToGrid w:val="0"/>
                <w:color w:val="000000"/>
              </w:rPr>
              <w:t xml:space="preserve"> </w:t>
            </w:r>
          </w:p>
        </w:tc>
      </w:tr>
    </w:tbl>
    <w:p w:rsidR="00566B80" w:rsidRDefault="00566B80" w:rsidP="00823BC8">
      <w:pPr>
        <w:tabs>
          <w:tab w:val="left" w:pos="3420"/>
        </w:tabs>
      </w:pPr>
    </w:p>
    <w:p w:rsidR="00463654" w:rsidRDefault="00463654" w:rsidP="00823BC8">
      <w:pPr>
        <w:tabs>
          <w:tab w:val="left" w:pos="3420"/>
        </w:tabs>
      </w:pPr>
      <w:r>
        <w:t xml:space="preserve">International M&amp;IE Allowance rates are obtained from the U.S. Dept. of State website at: </w:t>
      </w:r>
      <w:hyperlink r:id="rId11" w:history="1">
        <w:r w:rsidRPr="00D84701">
          <w:rPr>
            <w:rStyle w:val="Hyperlink"/>
          </w:rPr>
          <w:t>https://aoprals.state.gov/web920/per_diem.asp</w:t>
        </w:r>
      </w:hyperlink>
    </w:p>
    <w:p w:rsidR="00463654" w:rsidRDefault="00463654" w:rsidP="00823BC8">
      <w:pPr>
        <w:tabs>
          <w:tab w:val="left" w:pos="3420"/>
        </w:tabs>
      </w:pPr>
    </w:p>
    <w:p w:rsidR="00823BC8" w:rsidRDefault="001E7CE8" w:rsidP="00823BC8">
      <w:pPr>
        <w:tabs>
          <w:tab w:val="left" w:pos="3420"/>
        </w:tabs>
      </w:pPr>
      <w:r>
        <w:t xml:space="preserve">The agency shall reduce the </w:t>
      </w:r>
      <w:r w:rsidR="00823BC8">
        <w:t>M</w:t>
      </w:r>
      <w:r>
        <w:t>&amp;IE</w:t>
      </w:r>
      <w:r w:rsidR="00823BC8">
        <w:t xml:space="preserve"> Allowance for meals provided at no cost to the employee.</w:t>
      </w:r>
      <w:r>
        <w:t xml:space="preserve">  See Section 4301 of the Travel Handbook for detailed guidelines.</w:t>
      </w:r>
    </w:p>
    <w:p w:rsidR="00823BC8" w:rsidRDefault="00823BC8"/>
    <w:p w:rsidR="007A6992" w:rsidRDefault="00E31D3E">
      <w:r>
        <w:t>A single m</w:t>
      </w:r>
      <w:r w:rsidR="007A6992">
        <w:t>eal reimbursement for same-day travel may be authorized by the agency in limited situations at the meal allowance rates</w:t>
      </w:r>
      <w:r>
        <w:t xml:space="preserve"> above</w:t>
      </w:r>
      <w:r w:rsidR="007A6992">
        <w:t xml:space="preserve">.  See </w:t>
      </w:r>
      <w:r w:rsidR="00EE1CB3">
        <w:t xml:space="preserve">Section </w:t>
      </w:r>
      <w:r w:rsidR="007A6992">
        <w:t>4100(</w:t>
      </w:r>
      <w:r w:rsidR="001E7CE8">
        <w:t>D</w:t>
      </w:r>
      <w:r w:rsidR="007A6992">
        <w:t xml:space="preserve">) of the Travel Handbook for detailed guidelines. </w:t>
      </w:r>
    </w:p>
    <w:p w:rsidR="005337F7" w:rsidRDefault="005337F7" w:rsidP="005337F7">
      <w:pPr>
        <w:jc w:val="center"/>
        <w:rPr>
          <w:u w:val="single"/>
        </w:rPr>
      </w:pPr>
    </w:p>
    <w:p w:rsidR="007A6992" w:rsidRPr="005337F7" w:rsidRDefault="005337F7" w:rsidP="005337F7">
      <w:pPr>
        <w:jc w:val="center"/>
        <w:rPr>
          <w:u w:val="single"/>
        </w:rPr>
      </w:pPr>
      <w:r w:rsidRPr="005337F7">
        <w:rPr>
          <w:u w:val="single"/>
        </w:rPr>
        <w:t>Lodging</w:t>
      </w:r>
    </w:p>
    <w:p w:rsidR="007A6992" w:rsidRDefault="007A6992">
      <w:r>
        <w:t xml:space="preserve">Maximum lodging allowed (traveler is reimbursed for single occupancy only).  </w:t>
      </w:r>
      <w:r w:rsidR="001E7CE8">
        <w:t>No allowance for any tips is included with</w:t>
      </w:r>
      <w:r w:rsidR="00D4031D">
        <w:t>in</w:t>
      </w:r>
      <w:r w:rsidR="001E7CE8">
        <w:t xml:space="preserve"> this rate. </w:t>
      </w:r>
      <w:r>
        <w:t xml:space="preserve">Taxes associated with lodging </w:t>
      </w:r>
      <w:r w:rsidR="00BB7FEC">
        <w:t xml:space="preserve">shall </w:t>
      </w:r>
      <w:r>
        <w:t>be reimbursed in addition to the established maximum allowance:</w:t>
      </w:r>
    </w:p>
    <w:p w:rsidR="007A6992" w:rsidRDefault="007A6992"/>
    <w:tbl>
      <w:tblPr>
        <w:tblW w:w="0" w:type="auto"/>
        <w:tblInd w:w="390" w:type="dxa"/>
        <w:tblLayout w:type="fixed"/>
        <w:tblCellMar>
          <w:left w:w="30" w:type="dxa"/>
          <w:right w:w="30" w:type="dxa"/>
        </w:tblCellMar>
        <w:tblLook w:val="0000" w:firstRow="0" w:lastRow="0" w:firstColumn="0" w:lastColumn="0" w:noHBand="0" w:noVBand="0"/>
      </w:tblPr>
      <w:tblGrid>
        <w:gridCol w:w="2639"/>
        <w:gridCol w:w="962"/>
      </w:tblGrid>
      <w:tr w:rsidR="007A6992" w:rsidTr="00D84701">
        <w:trPr>
          <w:trHeight w:val="262"/>
        </w:trPr>
        <w:tc>
          <w:tcPr>
            <w:tcW w:w="2639" w:type="dxa"/>
          </w:tcPr>
          <w:p w:rsidR="007A6992" w:rsidRDefault="00DF2B49">
            <w:pPr>
              <w:rPr>
                <w:snapToGrid w:val="0"/>
                <w:color w:val="000000"/>
              </w:rPr>
            </w:pPr>
            <w:r>
              <w:rPr>
                <w:snapToGrid w:val="0"/>
                <w:color w:val="000000"/>
              </w:rPr>
              <w:t>Standard Lodging Rate</w:t>
            </w:r>
            <w:r w:rsidR="007A6992">
              <w:rPr>
                <w:snapToGrid w:val="0"/>
                <w:color w:val="000000"/>
              </w:rPr>
              <w:t xml:space="preserve"> </w:t>
            </w:r>
          </w:p>
        </w:tc>
        <w:tc>
          <w:tcPr>
            <w:tcW w:w="962" w:type="dxa"/>
          </w:tcPr>
          <w:p w:rsidR="007A6992" w:rsidRDefault="007A6992">
            <w:pPr>
              <w:jc w:val="right"/>
              <w:rPr>
                <w:snapToGrid w:val="0"/>
                <w:color w:val="000000"/>
              </w:rPr>
            </w:pPr>
            <w:r>
              <w:rPr>
                <w:snapToGrid w:val="0"/>
                <w:color w:val="000000"/>
              </w:rPr>
              <w:t xml:space="preserve">$  </w:t>
            </w:r>
            <w:r w:rsidR="00BF5829">
              <w:rPr>
                <w:snapToGrid w:val="0"/>
                <w:color w:val="000000"/>
              </w:rPr>
              <w:t>8</w:t>
            </w:r>
            <w:r w:rsidR="00DF2B49">
              <w:rPr>
                <w:snapToGrid w:val="0"/>
                <w:color w:val="000000"/>
              </w:rPr>
              <w:t>9</w:t>
            </w:r>
            <w:r>
              <w:rPr>
                <w:snapToGrid w:val="0"/>
                <w:color w:val="000000"/>
              </w:rPr>
              <w:t xml:space="preserve">.00 </w:t>
            </w:r>
          </w:p>
        </w:tc>
      </w:tr>
      <w:tr w:rsidR="007A6992" w:rsidTr="00D84701">
        <w:trPr>
          <w:trHeight w:val="262"/>
        </w:trPr>
        <w:tc>
          <w:tcPr>
            <w:tcW w:w="2639" w:type="dxa"/>
          </w:tcPr>
          <w:p w:rsidR="007A6992" w:rsidRDefault="007A6992">
            <w:pPr>
              <w:rPr>
                <w:snapToGrid w:val="0"/>
                <w:color w:val="000000"/>
              </w:rPr>
            </w:pPr>
            <w:r>
              <w:rPr>
                <w:snapToGrid w:val="0"/>
                <w:color w:val="000000"/>
              </w:rPr>
              <w:t xml:space="preserve">Conference Lodging qualified </w:t>
            </w:r>
          </w:p>
          <w:p w:rsidR="007A6992" w:rsidRDefault="007A6992">
            <w:pPr>
              <w:rPr>
                <w:snapToGrid w:val="0"/>
                <w:color w:val="000000"/>
              </w:rPr>
            </w:pPr>
            <w:r>
              <w:rPr>
                <w:snapToGrid w:val="0"/>
                <w:color w:val="000000"/>
              </w:rPr>
              <w:t xml:space="preserve">   under K.A.R. 1-16-18a*</w:t>
            </w:r>
          </w:p>
        </w:tc>
        <w:tc>
          <w:tcPr>
            <w:tcW w:w="962" w:type="dxa"/>
          </w:tcPr>
          <w:p w:rsidR="007A6992" w:rsidRDefault="007A6992">
            <w:pPr>
              <w:jc w:val="right"/>
              <w:rPr>
                <w:snapToGrid w:val="0"/>
                <w:color w:val="000000"/>
              </w:rPr>
            </w:pPr>
            <w:r>
              <w:rPr>
                <w:snapToGrid w:val="0"/>
                <w:color w:val="000000"/>
              </w:rPr>
              <w:t xml:space="preserve">Actual </w:t>
            </w:r>
          </w:p>
        </w:tc>
      </w:tr>
      <w:tr w:rsidR="007A6992" w:rsidTr="00D84701">
        <w:trPr>
          <w:trHeight w:val="225"/>
        </w:trPr>
        <w:tc>
          <w:tcPr>
            <w:tcW w:w="2639" w:type="dxa"/>
          </w:tcPr>
          <w:p w:rsidR="007A6992" w:rsidRDefault="007A6992" w:rsidP="003C6CA7">
            <w:pPr>
              <w:rPr>
                <w:snapToGrid w:val="0"/>
                <w:color w:val="000000"/>
              </w:rPr>
            </w:pPr>
            <w:r>
              <w:rPr>
                <w:snapToGrid w:val="0"/>
                <w:color w:val="000000"/>
              </w:rPr>
              <w:t>International</w:t>
            </w:r>
          </w:p>
        </w:tc>
        <w:tc>
          <w:tcPr>
            <w:tcW w:w="962" w:type="dxa"/>
          </w:tcPr>
          <w:p w:rsidR="007A6992" w:rsidRDefault="007A6992">
            <w:pPr>
              <w:jc w:val="right"/>
              <w:rPr>
                <w:snapToGrid w:val="0"/>
                <w:color w:val="000000"/>
              </w:rPr>
            </w:pPr>
            <w:r>
              <w:rPr>
                <w:snapToGrid w:val="0"/>
                <w:color w:val="000000"/>
              </w:rPr>
              <w:t xml:space="preserve">Actual </w:t>
            </w:r>
          </w:p>
        </w:tc>
      </w:tr>
    </w:tbl>
    <w:p w:rsidR="007A6992" w:rsidRDefault="007A6992">
      <w:pPr>
        <w:rPr>
          <w:sz w:val="16"/>
        </w:rPr>
      </w:pPr>
    </w:p>
    <w:p w:rsidR="007A6992" w:rsidRPr="00FF782C" w:rsidRDefault="007A6992">
      <w:r>
        <w:t xml:space="preserve">The daily lodging expense limitations above may be exceeded by the lesser of either: (1) An additional 50% of the applicable lodging expense limitation; or (2) the actual lodging expense incurred.   Either of these must </w:t>
      </w:r>
      <w:r w:rsidRPr="00FF782C">
        <w:t xml:space="preserve">be approved </w:t>
      </w:r>
      <w:r w:rsidR="003E1BAB" w:rsidRPr="00A42C68">
        <w:t xml:space="preserve">by the agency head or designee </w:t>
      </w:r>
      <w:r w:rsidRPr="00FF782C">
        <w:t>in accordance with agency</w:t>
      </w:r>
      <w:r w:rsidR="003E1BAB" w:rsidRPr="00A42C68">
        <w:t xml:space="preserve"> </w:t>
      </w:r>
      <w:r w:rsidR="006C3065" w:rsidRPr="00A42C68">
        <w:t xml:space="preserve">policy </w:t>
      </w:r>
      <w:r w:rsidR="003E1BAB" w:rsidRPr="00A42C68">
        <w:t>and PM 3,817</w:t>
      </w:r>
      <w:r w:rsidRPr="00FF782C">
        <w:t>.</w:t>
      </w:r>
    </w:p>
    <w:p w:rsidR="007A6992" w:rsidRPr="00A42C68" w:rsidRDefault="007A6992">
      <w:pPr>
        <w:rPr>
          <w:sz w:val="16"/>
          <w:highlight w:val="yellow"/>
        </w:rPr>
      </w:pPr>
    </w:p>
    <w:p w:rsidR="00D4031D" w:rsidRDefault="007A6992">
      <w:r w:rsidRPr="00191A85">
        <w:lastRenderedPageBreak/>
        <w:t>*Actual conference lodging may be paid without limit if approved by the appropriate agency official</w:t>
      </w:r>
      <w:r w:rsidR="00FF782C" w:rsidRPr="00A42C68">
        <w:t xml:space="preserve"> per PM 3,817</w:t>
      </w:r>
      <w:r w:rsidRPr="00191A85">
        <w:t>.</w:t>
      </w:r>
      <w:r>
        <w:t xml:space="preserve">  </w:t>
      </w:r>
    </w:p>
    <w:p w:rsidR="002D47C5" w:rsidRDefault="002D47C5"/>
    <w:p w:rsidR="007A6992" w:rsidRDefault="006A26F3" w:rsidP="007507DE">
      <w:r w:rsidRPr="006A26F3">
        <w:t xml:space="preserve">State agencies may pay lodging expenses directly to lodging establishments via </w:t>
      </w:r>
      <w:r w:rsidR="00431C81">
        <w:t>a check, ACH,</w:t>
      </w:r>
      <w:r w:rsidRPr="006A26F3">
        <w:t xml:space="preserve"> or an appropriate</w:t>
      </w:r>
      <w:r w:rsidR="001053AB">
        <w:t xml:space="preserve"> </w:t>
      </w:r>
      <w:proofErr w:type="spellStart"/>
      <w:r w:rsidR="001053AB">
        <w:t>cardless</w:t>
      </w:r>
      <w:proofErr w:type="spellEnd"/>
      <w:r w:rsidR="0057534A">
        <w:t xml:space="preserve"> P-Card.</w:t>
      </w:r>
    </w:p>
    <w:p w:rsidR="00463654" w:rsidRDefault="00463654" w:rsidP="00D84701">
      <w:pPr>
        <w:jc w:val="center"/>
        <w:rPr>
          <w:b/>
          <w:highlight w:val="yellow"/>
          <w:u w:val="single"/>
        </w:rPr>
      </w:pPr>
    </w:p>
    <w:p w:rsidR="00CD2421" w:rsidRPr="00D84701" w:rsidRDefault="00CD2421" w:rsidP="00D84701">
      <w:pPr>
        <w:jc w:val="center"/>
        <w:rPr>
          <w:b/>
          <w:sz w:val="22"/>
          <w:szCs w:val="22"/>
          <w:u w:val="single"/>
        </w:rPr>
      </w:pPr>
      <w:r w:rsidRPr="00D84701">
        <w:rPr>
          <w:b/>
          <w:sz w:val="22"/>
          <w:szCs w:val="22"/>
          <w:u w:val="single"/>
        </w:rPr>
        <w:t>SOURCE OF SUBSISTENCE RATES</w:t>
      </w:r>
    </w:p>
    <w:p w:rsidR="00CD2421" w:rsidRPr="00E85B25" w:rsidRDefault="00CD2421" w:rsidP="007507DE"/>
    <w:p w:rsidR="00A80978" w:rsidRPr="00C8393D" w:rsidRDefault="00CD2421" w:rsidP="00D84701">
      <w:r w:rsidRPr="00E85B25">
        <w:t>SMART contains the official subsistence rates for CONUS and OCONUS travel locations and will be updated each October 1 and April 1.  International subsistence rates are not loaded into SMART.  Employees will obtain M&amp;IE rates for international travel locations directly from the U.S. Dept. of State (DOS) website</w:t>
      </w:r>
      <w:r w:rsidR="006B5EFE">
        <w:t xml:space="preserve"> listed below.</w:t>
      </w:r>
      <w:r w:rsidR="00463654" w:rsidRPr="00E85B25">
        <w:rPr>
          <w:color w:val="000000"/>
        </w:rPr>
        <w:t xml:space="preserve"> </w:t>
      </w:r>
      <w:r w:rsidR="006B5EFE">
        <w:rPr>
          <w:color w:val="000000"/>
        </w:rPr>
        <w:t xml:space="preserve"> </w:t>
      </w:r>
      <w:r w:rsidR="00A80978" w:rsidRPr="00E85B25">
        <w:rPr>
          <w:color w:val="000000"/>
        </w:rPr>
        <w:t>See Section 4005</w:t>
      </w:r>
      <w:r w:rsidR="00E85B25">
        <w:rPr>
          <w:color w:val="000000"/>
        </w:rPr>
        <w:t xml:space="preserve"> of the Travel Handbook for </w:t>
      </w:r>
      <w:r w:rsidR="00DB2B98">
        <w:rPr>
          <w:color w:val="000000"/>
        </w:rPr>
        <w:t>the following information regarding the source of subsistence rates</w:t>
      </w:r>
      <w:r w:rsidR="00E85B25">
        <w:rPr>
          <w:color w:val="000000"/>
        </w:rPr>
        <w:t>.</w:t>
      </w:r>
    </w:p>
    <w:p w:rsidR="00A80978" w:rsidRPr="00112DD9" w:rsidRDefault="00A80978" w:rsidP="00D84701">
      <w:pPr>
        <w:tabs>
          <w:tab w:val="left" w:pos="0"/>
        </w:tabs>
        <w:spacing w:before="120"/>
        <w:ind w:left="180"/>
        <w:rPr>
          <w:color w:val="000000"/>
          <w:u w:val="single"/>
        </w:rPr>
      </w:pPr>
      <w:r w:rsidRPr="00112DD9">
        <w:rPr>
          <w:color w:val="000000"/>
          <w:u w:val="single"/>
        </w:rPr>
        <w:t>Contiguous United States (CONUS)-</w:t>
      </w:r>
    </w:p>
    <w:p w:rsidR="00A80978" w:rsidRDefault="00A80978" w:rsidP="00D84701">
      <w:pPr>
        <w:numPr>
          <w:ilvl w:val="0"/>
          <w:numId w:val="1"/>
        </w:numPr>
        <w:tabs>
          <w:tab w:val="left" w:pos="0"/>
        </w:tabs>
        <w:ind w:left="630"/>
        <w:rPr>
          <w:color w:val="000000"/>
        </w:rPr>
      </w:pPr>
      <w:r>
        <w:rPr>
          <w:color w:val="000000"/>
        </w:rPr>
        <w:t>The U.S. General Services Administration (GSA) maintains the M&amp;IE rates and lodging rates for travel locations in the contiguous United States  -</w:t>
      </w:r>
    </w:p>
    <w:p w:rsidR="00A80978" w:rsidRDefault="00A80978" w:rsidP="00D84701">
      <w:pPr>
        <w:numPr>
          <w:ilvl w:val="1"/>
          <w:numId w:val="1"/>
        </w:numPr>
        <w:tabs>
          <w:tab w:val="left" w:pos="0"/>
        </w:tabs>
        <w:ind w:left="990"/>
        <w:rPr>
          <w:color w:val="000000"/>
        </w:rPr>
      </w:pPr>
      <w:r>
        <w:t xml:space="preserve">U.S. General Services Administration website: </w:t>
      </w:r>
      <w:hyperlink r:id="rId12" w:history="1">
        <w:r w:rsidRPr="00DD352B">
          <w:rPr>
            <w:rStyle w:val="Hyperlink"/>
          </w:rPr>
          <w:t>http://www.gsa.gov/portal/content/104877</w:t>
        </w:r>
      </w:hyperlink>
    </w:p>
    <w:p w:rsidR="00A80978" w:rsidRDefault="00A80978" w:rsidP="00D84701">
      <w:pPr>
        <w:tabs>
          <w:tab w:val="left" w:pos="0"/>
        </w:tabs>
        <w:spacing w:before="240"/>
        <w:ind w:left="180"/>
        <w:rPr>
          <w:color w:val="000000"/>
        </w:rPr>
      </w:pPr>
      <w:r>
        <w:rPr>
          <w:color w:val="000000"/>
        </w:rPr>
        <w:t>Outside Contiguous United States (OCONUS):</w:t>
      </w:r>
    </w:p>
    <w:p w:rsidR="00A80978" w:rsidRPr="00112DD9" w:rsidRDefault="00A80978" w:rsidP="00D84701">
      <w:pPr>
        <w:tabs>
          <w:tab w:val="left" w:pos="0"/>
        </w:tabs>
        <w:ind w:left="180"/>
        <w:rPr>
          <w:color w:val="000000"/>
          <w:u w:val="single"/>
        </w:rPr>
      </w:pPr>
      <w:r w:rsidRPr="00112DD9">
        <w:rPr>
          <w:color w:val="000000"/>
          <w:u w:val="single"/>
        </w:rPr>
        <w:t>(Alaska, Hawaii, and U.S. Territories</w:t>
      </w:r>
      <w:r>
        <w:rPr>
          <w:color w:val="000000"/>
          <w:u w:val="single"/>
        </w:rPr>
        <w:t>/</w:t>
      </w:r>
      <w:r w:rsidRPr="00112DD9">
        <w:rPr>
          <w:color w:val="000000"/>
          <w:u w:val="single"/>
        </w:rPr>
        <w:t>Possessions</w:t>
      </w:r>
      <w:r>
        <w:rPr>
          <w:color w:val="000000"/>
          <w:u w:val="single"/>
        </w:rPr>
        <w:t>)</w:t>
      </w:r>
      <w:r w:rsidRPr="00112DD9">
        <w:rPr>
          <w:color w:val="000000"/>
          <w:u w:val="single"/>
        </w:rPr>
        <w:t xml:space="preserve"> -</w:t>
      </w:r>
    </w:p>
    <w:p w:rsidR="00A80978" w:rsidRDefault="00A80978" w:rsidP="00D84701">
      <w:pPr>
        <w:numPr>
          <w:ilvl w:val="0"/>
          <w:numId w:val="1"/>
        </w:numPr>
        <w:tabs>
          <w:tab w:val="left" w:pos="0"/>
        </w:tabs>
        <w:ind w:left="630"/>
        <w:rPr>
          <w:color w:val="000000"/>
        </w:rPr>
      </w:pPr>
      <w:r>
        <w:rPr>
          <w:color w:val="000000"/>
        </w:rPr>
        <w:t>The U.S. Department of Defense (DOD) maintains the M&amp;IE rates and lodging rates for travel locations within Alaska, Hawaii and U.S. Territories/Possessions -</w:t>
      </w:r>
    </w:p>
    <w:p w:rsidR="00A80978" w:rsidRDefault="00A80978" w:rsidP="00D84701">
      <w:pPr>
        <w:numPr>
          <w:ilvl w:val="1"/>
          <w:numId w:val="1"/>
        </w:numPr>
        <w:tabs>
          <w:tab w:val="left" w:pos="0"/>
        </w:tabs>
        <w:ind w:left="990"/>
        <w:rPr>
          <w:color w:val="000000"/>
        </w:rPr>
      </w:pPr>
      <w:r w:rsidRPr="00761693">
        <w:t xml:space="preserve">U.S. Department of Defense website: </w:t>
      </w:r>
      <w:hyperlink r:id="rId13" w:history="1">
        <w:r w:rsidRPr="00761693">
          <w:rPr>
            <w:rStyle w:val="Hyperlink"/>
          </w:rPr>
          <w:t>http://www.defensetravel.dod.mil/site/perdiemCalc.cfm</w:t>
        </w:r>
      </w:hyperlink>
    </w:p>
    <w:p w:rsidR="00A80978" w:rsidRPr="00112DD9" w:rsidRDefault="00A80978" w:rsidP="00D84701">
      <w:pPr>
        <w:tabs>
          <w:tab w:val="left" w:pos="0"/>
        </w:tabs>
        <w:spacing w:before="240"/>
        <w:ind w:left="180"/>
        <w:rPr>
          <w:color w:val="000000"/>
          <w:u w:val="single"/>
        </w:rPr>
      </w:pPr>
      <w:r>
        <w:rPr>
          <w:color w:val="000000"/>
          <w:u w:val="single"/>
        </w:rPr>
        <w:t>I</w:t>
      </w:r>
      <w:r w:rsidRPr="00112DD9">
        <w:rPr>
          <w:color w:val="000000"/>
          <w:u w:val="single"/>
        </w:rPr>
        <w:t>nternational Locations -</w:t>
      </w:r>
    </w:p>
    <w:p w:rsidR="00A80978" w:rsidRDefault="00A80978" w:rsidP="00D84701">
      <w:pPr>
        <w:numPr>
          <w:ilvl w:val="0"/>
          <w:numId w:val="1"/>
        </w:numPr>
        <w:tabs>
          <w:tab w:val="left" w:pos="0"/>
        </w:tabs>
        <w:ind w:left="630"/>
        <w:rPr>
          <w:color w:val="000000"/>
        </w:rPr>
      </w:pPr>
      <w:r>
        <w:rPr>
          <w:color w:val="000000"/>
        </w:rPr>
        <w:t>The U.S. Department of State (DOS) is the source for M&amp;IE rates only for international travel locations-</w:t>
      </w:r>
    </w:p>
    <w:p w:rsidR="00A80978" w:rsidRPr="00B61823" w:rsidRDefault="00A80978" w:rsidP="00D84701">
      <w:pPr>
        <w:numPr>
          <w:ilvl w:val="1"/>
          <w:numId w:val="1"/>
        </w:numPr>
        <w:tabs>
          <w:tab w:val="left" w:pos="0"/>
        </w:tabs>
        <w:ind w:left="990"/>
        <w:rPr>
          <w:color w:val="000000"/>
        </w:rPr>
      </w:pPr>
      <w:r w:rsidRPr="00C220B7">
        <w:rPr>
          <w:color w:val="000000"/>
        </w:rPr>
        <w:t>U.S. Department of State</w:t>
      </w:r>
      <w:r>
        <w:rPr>
          <w:color w:val="000000"/>
        </w:rPr>
        <w:t xml:space="preserve"> website</w:t>
      </w:r>
      <w:r w:rsidRPr="00C220B7">
        <w:rPr>
          <w:color w:val="000000"/>
        </w:rPr>
        <w:t>:</w:t>
      </w:r>
      <w:r>
        <w:rPr>
          <w:color w:val="000000"/>
        </w:rPr>
        <w:t xml:space="preserve"> </w:t>
      </w:r>
      <w:hyperlink r:id="rId14" w:history="1">
        <w:r w:rsidRPr="00DD352B">
          <w:rPr>
            <w:rStyle w:val="Hyperlink"/>
          </w:rPr>
          <w:t>https://aoprals.state.gov/web920/per_diem.asp</w:t>
        </w:r>
      </w:hyperlink>
    </w:p>
    <w:p w:rsidR="00A80978" w:rsidRDefault="00A80978" w:rsidP="00D84701">
      <w:pPr>
        <w:numPr>
          <w:ilvl w:val="0"/>
          <w:numId w:val="1"/>
        </w:numPr>
        <w:tabs>
          <w:tab w:val="left" w:pos="0"/>
        </w:tabs>
        <w:ind w:left="630"/>
        <w:rPr>
          <w:color w:val="000000"/>
        </w:rPr>
      </w:pPr>
      <w:r>
        <w:rPr>
          <w:color w:val="000000"/>
        </w:rPr>
        <w:t>For international travel, payment for actual lodging expense is allowed.</w:t>
      </w:r>
    </w:p>
    <w:p w:rsidR="00463654" w:rsidRPr="00D84701" w:rsidRDefault="00463654" w:rsidP="00463654">
      <w:pPr>
        <w:pStyle w:val="NormalWeb"/>
        <w:tabs>
          <w:tab w:val="left" w:pos="0"/>
        </w:tabs>
        <w:rPr>
          <w:color w:val="000000"/>
          <w:sz w:val="20"/>
          <w:szCs w:val="20"/>
          <w:u w:val="single"/>
        </w:rPr>
      </w:pPr>
      <w:r w:rsidRPr="00D84701">
        <w:rPr>
          <w:color w:val="000000"/>
          <w:sz w:val="20"/>
          <w:szCs w:val="20"/>
          <w:u w:val="single"/>
        </w:rPr>
        <w:lastRenderedPageBreak/>
        <w:t>Note for using federal websites:</w:t>
      </w:r>
    </w:p>
    <w:p w:rsidR="00463654" w:rsidRDefault="00463654" w:rsidP="00463654">
      <w:pPr>
        <w:rPr>
          <w:color w:val="000000"/>
        </w:rPr>
      </w:pPr>
      <w:r>
        <w:rPr>
          <w:color w:val="000000"/>
        </w:rPr>
        <w:t>For CONUS and OCONUS travel, if SMART is not accessible, employees may access subsistence rates through the federal websites.  However interim federal website updates may occur subsequent to the semi-annual SMART updates each October 1 and April 1.  CONUS rates are published on an annual basis but the annual file is updated periodically throughout the year with no interim files published.  OCONUS and international rates are updated and published on a monthly basis.  Be aware that any interim updates for CONUS or OCONUS locations are not valid until reflected in SMART.  For international travel, only the October 1 and April 1 subsistence files should be used to locate the M&amp;IE rates.</w:t>
      </w:r>
    </w:p>
    <w:p w:rsidR="00A80978" w:rsidRDefault="00A80978" w:rsidP="00463654">
      <w:pPr>
        <w:rPr>
          <w:color w:val="000000"/>
        </w:rPr>
      </w:pPr>
    </w:p>
    <w:p w:rsidR="00A80978" w:rsidRDefault="00A80978" w:rsidP="00A80978">
      <w:pPr>
        <w:tabs>
          <w:tab w:val="left" w:pos="0"/>
        </w:tabs>
      </w:pPr>
      <w:r w:rsidRPr="00A4677A">
        <w:t>If</w:t>
      </w:r>
      <w:r>
        <w:t xml:space="preserve"> employees utilize the federal websites to find </w:t>
      </w:r>
      <w:r w:rsidRPr="00A4677A">
        <w:t>M&amp;IE and lodging rates, those rates should be used as follows:</w:t>
      </w:r>
    </w:p>
    <w:p w:rsidR="00A80978" w:rsidRDefault="00A80978" w:rsidP="00A80978">
      <w:pPr>
        <w:tabs>
          <w:tab w:val="left" w:pos="0"/>
        </w:tabs>
      </w:pPr>
    </w:p>
    <w:p w:rsidR="00A80978" w:rsidRPr="00B61823" w:rsidRDefault="00A80978" w:rsidP="00D84701">
      <w:pPr>
        <w:numPr>
          <w:ilvl w:val="0"/>
          <w:numId w:val="2"/>
        </w:numPr>
        <w:tabs>
          <w:tab w:val="left" w:pos="0"/>
        </w:tabs>
        <w:ind w:left="540"/>
        <w:rPr>
          <w:color w:val="000000"/>
        </w:rPr>
      </w:pPr>
      <w:r w:rsidRPr="00B61823">
        <w:rPr>
          <w:u w:val="single"/>
        </w:rPr>
        <w:t>Rates published October 1</w:t>
      </w:r>
      <w:r w:rsidRPr="00A4677A">
        <w:t xml:space="preserve"> - for travel occurring between October 1 and March 31 of each year</w:t>
      </w:r>
      <w:r>
        <w:t>.</w:t>
      </w:r>
    </w:p>
    <w:p w:rsidR="00A80978" w:rsidRPr="00D84701" w:rsidRDefault="00A80978" w:rsidP="00D84701">
      <w:pPr>
        <w:numPr>
          <w:ilvl w:val="0"/>
          <w:numId w:val="2"/>
        </w:numPr>
        <w:tabs>
          <w:tab w:val="left" w:pos="0"/>
        </w:tabs>
        <w:ind w:left="540"/>
        <w:rPr>
          <w:color w:val="000000"/>
        </w:rPr>
      </w:pPr>
      <w:r w:rsidRPr="00B61823">
        <w:rPr>
          <w:u w:val="single"/>
        </w:rPr>
        <w:t>Rates published April 1</w:t>
      </w:r>
      <w:r w:rsidRPr="00A4677A">
        <w:t xml:space="preserve"> - for travel occurring between April 1 and September 30 of each year</w:t>
      </w:r>
      <w:r>
        <w:t>.</w:t>
      </w:r>
    </w:p>
    <w:p w:rsidR="00E85B25" w:rsidRDefault="00E85B25" w:rsidP="00D84701">
      <w:pPr>
        <w:tabs>
          <w:tab w:val="left" w:pos="0"/>
        </w:tabs>
        <w:rPr>
          <w:u w:val="single"/>
        </w:rPr>
      </w:pPr>
    </w:p>
    <w:p w:rsidR="00E85B25" w:rsidRPr="00E85B25" w:rsidRDefault="00E04A28" w:rsidP="00D84701">
      <w:pPr>
        <w:tabs>
          <w:tab w:val="left" w:pos="0"/>
        </w:tabs>
        <w:rPr>
          <w:color w:val="000000"/>
        </w:rPr>
      </w:pPr>
      <w:r>
        <w:t xml:space="preserve">A query “KS_EX_CONUS_RATES” is available in SMART 9.2 which provides the effective CONUS and OCONUS travel locations and subsistence rates.  SMART will be updated semi-annually with the </w:t>
      </w:r>
      <w:r w:rsidR="00B31483">
        <w:t xml:space="preserve">October 1 and April 1 </w:t>
      </w:r>
      <w:r>
        <w:t>subsistence rates.</w:t>
      </w:r>
    </w:p>
    <w:p w:rsidR="006A26F3" w:rsidRDefault="006A26F3">
      <w:pPr>
        <w:jc w:val="center"/>
        <w:rPr>
          <w:b/>
          <w:sz w:val="16"/>
          <w:u w:val="single"/>
        </w:rPr>
      </w:pPr>
    </w:p>
    <w:p w:rsidR="007A6992" w:rsidRDefault="007A6992">
      <w:pPr>
        <w:jc w:val="center"/>
        <w:rPr>
          <w:b/>
          <w:sz w:val="24"/>
          <w:u w:val="single"/>
        </w:rPr>
      </w:pPr>
      <w:r>
        <w:rPr>
          <w:b/>
          <w:sz w:val="22"/>
          <w:u w:val="single"/>
        </w:rPr>
        <w:t>MISCELLANEOU</w:t>
      </w:r>
      <w:r w:rsidR="006D523B" w:rsidRPr="006D523B">
        <w:rPr>
          <w:b/>
          <w:sz w:val="22"/>
          <w:szCs w:val="22"/>
          <w:u w:val="single"/>
        </w:rPr>
        <w:t>S</w:t>
      </w:r>
    </w:p>
    <w:p w:rsidR="007A6992" w:rsidRDefault="007A6992">
      <w:r>
        <w:t>Receipts are not required (except as required by the paying agency) for taxi fare, shuttles, turnpike receipts</w:t>
      </w:r>
      <w:r w:rsidR="006D523B">
        <w:t>, and unattended parking meters</w:t>
      </w:r>
    </w:p>
    <w:p w:rsidR="007A6992" w:rsidRDefault="007A6992">
      <w:pPr>
        <w:jc w:val="center"/>
      </w:pPr>
    </w:p>
    <w:p w:rsidR="00CD2421" w:rsidRDefault="00CD2421">
      <w:pPr>
        <w:rPr>
          <w:b/>
          <w:i/>
        </w:rPr>
      </w:pPr>
    </w:p>
    <w:p w:rsidR="007A6992" w:rsidRDefault="007A6992">
      <w:pPr>
        <w:rPr>
          <w:b/>
          <w:i/>
        </w:rPr>
      </w:pPr>
      <w:r>
        <w:rPr>
          <w:b/>
          <w:i/>
        </w:rPr>
        <w:t>Note:  Specific questions regarding travel should be directed to your agency's business office.</w:t>
      </w:r>
    </w:p>
    <w:p w:rsidR="007A6992" w:rsidRDefault="007A6992">
      <w:pPr>
        <w:jc w:val="center"/>
      </w:pPr>
    </w:p>
    <w:p w:rsidR="007A6992" w:rsidRDefault="007A6992">
      <w:pPr>
        <w:jc w:val="center"/>
      </w:pPr>
    </w:p>
    <w:p w:rsidR="00472E1C" w:rsidRDefault="00472E1C">
      <w:pPr>
        <w:jc w:val="center"/>
      </w:pPr>
    </w:p>
    <w:p w:rsidR="00472E1C" w:rsidRDefault="00472E1C">
      <w:pPr>
        <w:jc w:val="center"/>
      </w:pPr>
    </w:p>
    <w:p w:rsidR="00472E1C" w:rsidRDefault="00472E1C">
      <w:pPr>
        <w:jc w:val="center"/>
      </w:pPr>
    </w:p>
    <w:p w:rsidR="00A80978" w:rsidRDefault="00A80978">
      <w:pPr>
        <w:jc w:val="center"/>
      </w:pPr>
    </w:p>
    <w:p w:rsidR="00A80978" w:rsidRDefault="00A80978">
      <w:pPr>
        <w:jc w:val="center"/>
      </w:pPr>
    </w:p>
    <w:p w:rsidR="00A80978" w:rsidRDefault="00A80978">
      <w:pPr>
        <w:jc w:val="center"/>
      </w:pPr>
    </w:p>
    <w:p w:rsidR="00A80978" w:rsidRDefault="00A80978">
      <w:pPr>
        <w:jc w:val="center"/>
      </w:pPr>
    </w:p>
    <w:p w:rsidR="00A80978" w:rsidRDefault="00A80978">
      <w:pPr>
        <w:jc w:val="center"/>
      </w:pPr>
    </w:p>
    <w:p w:rsidR="00A80978" w:rsidRDefault="00A80978">
      <w:pPr>
        <w:jc w:val="center"/>
      </w:pPr>
    </w:p>
    <w:p w:rsidR="00A80978" w:rsidRDefault="00A80978">
      <w:pPr>
        <w:jc w:val="center"/>
      </w:pPr>
    </w:p>
    <w:p w:rsidR="00472E1C" w:rsidRDefault="00472E1C">
      <w:pPr>
        <w:jc w:val="center"/>
      </w:pPr>
    </w:p>
    <w:p w:rsidR="007A6992" w:rsidRDefault="007A6992">
      <w:pPr>
        <w:jc w:val="center"/>
      </w:pPr>
      <w:r>
        <w:t>STATE OF KANSAS</w:t>
      </w:r>
    </w:p>
    <w:p w:rsidR="007A6992" w:rsidRDefault="007A6992">
      <w:pPr>
        <w:jc w:val="center"/>
      </w:pPr>
    </w:p>
    <w:p w:rsidR="007A6992" w:rsidRDefault="007A6992">
      <w:pPr>
        <w:jc w:val="center"/>
      </w:pPr>
    </w:p>
    <w:p w:rsidR="007A6992" w:rsidRDefault="007A6992">
      <w:pPr>
        <w:jc w:val="center"/>
      </w:pPr>
      <w:r>
        <w:t>Department of Administration</w:t>
      </w:r>
    </w:p>
    <w:p w:rsidR="007A6992" w:rsidRDefault="007A6992">
      <w:pPr>
        <w:jc w:val="center"/>
      </w:pPr>
    </w:p>
    <w:p w:rsidR="007A6992" w:rsidRDefault="00516E16">
      <w:pPr>
        <w:jc w:val="center"/>
      </w:pPr>
      <w:r>
        <w:t xml:space="preserve">Office of </w:t>
      </w:r>
      <w:r w:rsidR="005579E3">
        <w:t xml:space="preserve">the </w:t>
      </w:r>
      <w:r w:rsidR="00E5569C">
        <w:t>Chief Financial Officer</w:t>
      </w:r>
    </w:p>
    <w:p w:rsidR="007A6992" w:rsidRDefault="007A6992">
      <w:pPr>
        <w:jc w:val="center"/>
      </w:pPr>
    </w:p>
    <w:p w:rsidR="007A6992" w:rsidRDefault="007A6992">
      <w:pPr>
        <w:jc w:val="center"/>
      </w:pPr>
    </w:p>
    <w:p w:rsidR="007A6992" w:rsidRDefault="007A6992">
      <w:pPr>
        <w:jc w:val="center"/>
      </w:pPr>
      <w:r>
        <w:t>EMPLOYEE TRAVEL EXPENSE</w:t>
      </w:r>
    </w:p>
    <w:p w:rsidR="007A6992" w:rsidRDefault="007A6992">
      <w:pPr>
        <w:jc w:val="center"/>
      </w:pPr>
      <w:r>
        <w:t xml:space="preserve">REIMBURSEMENT SUMMARY </w:t>
      </w:r>
    </w:p>
    <w:p w:rsidR="007A6992" w:rsidRDefault="007A6992">
      <w:pPr>
        <w:jc w:val="center"/>
      </w:pPr>
    </w:p>
    <w:p w:rsidR="007A6992" w:rsidRDefault="004D2EA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pt;margin-top:.2pt;width:118.8pt;height:114.2pt;z-index:251657728" o:allowincell="f">
            <v:imagedata r:id="rId15" o:title="ksgen400"/>
            <w10:wrap type="topAndBottom"/>
          </v:shape>
        </w:pict>
      </w:r>
    </w:p>
    <w:p w:rsidR="007A6992" w:rsidRDefault="007A6992">
      <w:pPr>
        <w:jc w:val="center"/>
      </w:pPr>
    </w:p>
    <w:p w:rsidR="007A6992" w:rsidRDefault="007A6992">
      <w:pPr>
        <w:pStyle w:val="Heading1"/>
      </w:pPr>
      <w:r>
        <w:t>Revised J</w:t>
      </w:r>
      <w:r w:rsidR="00021CAC">
        <w:t>anuary</w:t>
      </w:r>
      <w:r>
        <w:t xml:space="preserve"> 1, </w:t>
      </w:r>
      <w:r w:rsidR="00EE1CB3">
        <w:t>201</w:t>
      </w:r>
      <w:r w:rsidR="00021CAC">
        <w:t>6</w:t>
      </w:r>
    </w:p>
    <w:p w:rsidR="007A6992" w:rsidRDefault="007A6992">
      <w:pPr>
        <w:jc w:val="center"/>
      </w:pPr>
    </w:p>
    <w:p w:rsidR="007A6992" w:rsidRDefault="007A6992">
      <w:pPr>
        <w:jc w:val="center"/>
      </w:pPr>
    </w:p>
    <w:p w:rsidR="007A6992" w:rsidRDefault="00431C81">
      <w:pPr>
        <w:jc w:val="center"/>
      </w:pPr>
      <w:r>
        <w:t>SAM BROWNBACK</w:t>
      </w:r>
      <w:r w:rsidR="007A6992">
        <w:t xml:space="preserve"> </w:t>
      </w:r>
    </w:p>
    <w:p w:rsidR="007A6992" w:rsidRDefault="007A6992">
      <w:pPr>
        <w:jc w:val="center"/>
      </w:pPr>
      <w:r>
        <w:t>Governor</w:t>
      </w:r>
    </w:p>
    <w:p w:rsidR="007A6992" w:rsidRDefault="007A6992">
      <w:pPr>
        <w:jc w:val="center"/>
      </w:pPr>
    </w:p>
    <w:p w:rsidR="007A6992" w:rsidRDefault="007A6992">
      <w:pPr>
        <w:jc w:val="center"/>
      </w:pPr>
    </w:p>
    <w:p w:rsidR="007A6992" w:rsidRDefault="00021CAC">
      <w:pPr>
        <w:jc w:val="center"/>
      </w:pPr>
      <w:r>
        <w:t>SARAH SHIPMAN</w:t>
      </w:r>
    </w:p>
    <w:p w:rsidR="007A6992" w:rsidRDefault="00021CAC">
      <w:pPr>
        <w:jc w:val="center"/>
      </w:pPr>
      <w:r>
        <w:t xml:space="preserve">Acting </w:t>
      </w:r>
      <w:r w:rsidR="007A6992">
        <w:t>Secretary of Administration</w:t>
      </w:r>
    </w:p>
    <w:p w:rsidR="007A6992" w:rsidRDefault="007A6992">
      <w:pPr>
        <w:jc w:val="center"/>
      </w:pPr>
    </w:p>
    <w:p w:rsidR="00FA0EBB" w:rsidRDefault="00FA0EBB">
      <w:pPr>
        <w:jc w:val="center"/>
      </w:pPr>
      <w:r w:rsidRPr="00A42C68">
        <w:t>DeAnn Hill, CPA, CGMA, PFS</w:t>
      </w:r>
    </w:p>
    <w:p w:rsidR="00E254B8" w:rsidRDefault="00E254B8">
      <w:pPr>
        <w:jc w:val="center"/>
      </w:pPr>
      <w:r>
        <w:t>Chief Financial Officer</w:t>
      </w:r>
    </w:p>
    <w:p w:rsidR="00E254B8" w:rsidRPr="00A42C68" w:rsidRDefault="00E254B8">
      <w:pPr>
        <w:jc w:val="center"/>
      </w:pPr>
    </w:p>
    <w:p w:rsidR="00E733DE" w:rsidRDefault="00E733DE">
      <w:pPr>
        <w:jc w:val="center"/>
      </w:pPr>
    </w:p>
    <w:p w:rsidR="007A6992" w:rsidRDefault="007A6992">
      <w:pPr>
        <w:tabs>
          <w:tab w:val="left" w:pos="0"/>
          <w:tab w:val="left" w:pos="720"/>
          <w:tab w:val="left" w:pos="1260"/>
        </w:tabs>
      </w:pPr>
    </w:p>
    <w:p w:rsidR="007A6992" w:rsidRDefault="007A6992">
      <w:pPr>
        <w:tabs>
          <w:tab w:val="left" w:pos="0"/>
          <w:tab w:val="left" w:pos="720"/>
          <w:tab w:val="left" w:pos="1260"/>
        </w:tabs>
      </w:pPr>
    </w:p>
    <w:p w:rsidR="007A6992" w:rsidRDefault="007A6992">
      <w:pPr>
        <w:tabs>
          <w:tab w:val="left" w:pos="0"/>
          <w:tab w:val="left" w:pos="1260"/>
        </w:tabs>
      </w:pPr>
      <w:r>
        <w:tab/>
      </w:r>
      <w:r>
        <w:tab/>
      </w:r>
      <w:r>
        <w:tab/>
      </w:r>
    </w:p>
    <w:sectPr w:rsidR="007A6992" w:rsidSect="00D84701">
      <w:pgSz w:w="15840" w:h="12240" w:orient="landscape" w:code="1"/>
      <w:pgMar w:top="450" w:right="432" w:bottom="450" w:left="432" w:header="720" w:footer="720" w:gutter="0"/>
      <w:cols w:num="3" w:space="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0140"/>
    <w:multiLevelType w:val="hybridMultilevel"/>
    <w:tmpl w:val="8BA2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51B6F"/>
    <w:multiLevelType w:val="hybridMultilevel"/>
    <w:tmpl w:val="9550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1" w:cryptProviderType="rsaFull" w:cryptAlgorithmClass="hash" w:cryptAlgorithmType="typeAny" w:cryptAlgorithmSid="4" w:cryptSpinCount="100000" w:hash="hMlSMGXaEMOCYdB+dZQTI4Iliwk=" w:salt="ukNg0tIFUpePX0MxznqkQQ=="/>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6E8"/>
    <w:rsid w:val="000165A6"/>
    <w:rsid w:val="0001683E"/>
    <w:rsid w:val="00021CAC"/>
    <w:rsid w:val="000321CD"/>
    <w:rsid w:val="000349CF"/>
    <w:rsid w:val="000425E8"/>
    <w:rsid w:val="0004524A"/>
    <w:rsid w:val="00062446"/>
    <w:rsid w:val="0006416D"/>
    <w:rsid w:val="00072C61"/>
    <w:rsid w:val="0008060E"/>
    <w:rsid w:val="000E46E8"/>
    <w:rsid w:val="000F5E3B"/>
    <w:rsid w:val="00104BDF"/>
    <w:rsid w:val="001053AB"/>
    <w:rsid w:val="00115659"/>
    <w:rsid w:val="00152A03"/>
    <w:rsid w:val="00157700"/>
    <w:rsid w:val="00167302"/>
    <w:rsid w:val="00170841"/>
    <w:rsid w:val="00170EFC"/>
    <w:rsid w:val="00186993"/>
    <w:rsid w:val="00191A85"/>
    <w:rsid w:val="00196D4C"/>
    <w:rsid w:val="001B2F44"/>
    <w:rsid w:val="001B437C"/>
    <w:rsid w:val="001D3AB1"/>
    <w:rsid w:val="001D5B79"/>
    <w:rsid w:val="001E7CE8"/>
    <w:rsid w:val="001F7578"/>
    <w:rsid w:val="0020147D"/>
    <w:rsid w:val="002037CA"/>
    <w:rsid w:val="002678B3"/>
    <w:rsid w:val="002B2925"/>
    <w:rsid w:val="002B303B"/>
    <w:rsid w:val="002D2DE6"/>
    <w:rsid w:val="002D47C5"/>
    <w:rsid w:val="002F3C70"/>
    <w:rsid w:val="003000F9"/>
    <w:rsid w:val="00331CFB"/>
    <w:rsid w:val="003367A7"/>
    <w:rsid w:val="00356D1D"/>
    <w:rsid w:val="00367E42"/>
    <w:rsid w:val="003719AF"/>
    <w:rsid w:val="003C2787"/>
    <w:rsid w:val="003C6CA7"/>
    <w:rsid w:val="003D1779"/>
    <w:rsid w:val="003D4C85"/>
    <w:rsid w:val="003E1BAB"/>
    <w:rsid w:val="003F340E"/>
    <w:rsid w:val="00431C81"/>
    <w:rsid w:val="00435042"/>
    <w:rsid w:val="00441531"/>
    <w:rsid w:val="004540B8"/>
    <w:rsid w:val="00463654"/>
    <w:rsid w:val="00472E1C"/>
    <w:rsid w:val="00485982"/>
    <w:rsid w:val="0049432D"/>
    <w:rsid w:val="004C56CD"/>
    <w:rsid w:val="004D2EAF"/>
    <w:rsid w:val="004E574A"/>
    <w:rsid w:val="00501B82"/>
    <w:rsid w:val="00507892"/>
    <w:rsid w:val="00516E16"/>
    <w:rsid w:val="00522465"/>
    <w:rsid w:val="00530455"/>
    <w:rsid w:val="005337F7"/>
    <w:rsid w:val="00543A11"/>
    <w:rsid w:val="005579E3"/>
    <w:rsid w:val="00566B80"/>
    <w:rsid w:val="005706CB"/>
    <w:rsid w:val="0057534A"/>
    <w:rsid w:val="00590607"/>
    <w:rsid w:val="005A62EE"/>
    <w:rsid w:val="005F2098"/>
    <w:rsid w:val="0062084F"/>
    <w:rsid w:val="00621222"/>
    <w:rsid w:val="0064605B"/>
    <w:rsid w:val="00647DF2"/>
    <w:rsid w:val="00671741"/>
    <w:rsid w:val="00685F0D"/>
    <w:rsid w:val="006A0A2F"/>
    <w:rsid w:val="006A26F3"/>
    <w:rsid w:val="006B0F30"/>
    <w:rsid w:val="006B5EFE"/>
    <w:rsid w:val="006B6766"/>
    <w:rsid w:val="006C3065"/>
    <w:rsid w:val="006C3C4D"/>
    <w:rsid w:val="006D523B"/>
    <w:rsid w:val="006E3810"/>
    <w:rsid w:val="006E4611"/>
    <w:rsid w:val="00715E78"/>
    <w:rsid w:val="00716D20"/>
    <w:rsid w:val="0072073F"/>
    <w:rsid w:val="0072378B"/>
    <w:rsid w:val="00745537"/>
    <w:rsid w:val="007507DE"/>
    <w:rsid w:val="00767694"/>
    <w:rsid w:val="00777E24"/>
    <w:rsid w:val="007A6992"/>
    <w:rsid w:val="007B4B0E"/>
    <w:rsid w:val="007D32F1"/>
    <w:rsid w:val="007F2992"/>
    <w:rsid w:val="00805B77"/>
    <w:rsid w:val="00811DDF"/>
    <w:rsid w:val="00823BC8"/>
    <w:rsid w:val="00835284"/>
    <w:rsid w:val="00885BDC"/>
    <w:rsid w:val="008A4724"/>
    <w:rsid w:val="008E03E4"/>
    <w:rsid w:val="008E1FAF"/>
    <w:rsid w:val="008E67E8"/>
    <w:rsid w:val="008E6F6F"/>
    <w:rsid w:val="00927C54"/>
    <w:rsid w:val="00952AF3"/>
    <w:rsid w:val="0096450F"/>
    <w:rsid w:val="009668E7"/>
    <w:rsid w:val="009E4981"/>
    <w:rsid w:val="00A0241D"/>
    <w:rsid w:val="00A05BFE"/>
    <w:rsid w:val="00A23B9F"/>
    <w:rsid w:val="00A42C68"/>
    <w:rsid w:val="00A64725"/>
    <w:rsid w:val="00A77559"/>
    <w:rsid w:val="00A80978"/>
    <w:rsid w:val="00A85E70"/>
    <w:rsid w:val="00AB7E6F"/>
    <w:rsid w:val="00AC5A25"/>
    <w:rsid w:val="00AC62A0"/>
    <w:rsid w:val="00AC6435"/>
    <w:rsid w:val="00AF5388"/>
    <w:rsid w:val="00B02892"/>
    <w:rsid w:val="00B31483"/>
    <w:rsid w:val="00B4636D"/>
    <w:rsid w:val="00B646C3"/>
    <w:rsid w:val="00B67E2E"/>
    <w:rsid w:val="00BB7FEC"/>
    <w:rsid w:val="00BD2877"/>
    <w:rsid w:val="00BF5829"/>
    <w:rsid w:val="00BF753C"/>
    <w:rsid w:val="00C03456"/>
    <w:rsid w:val="00C57942"/>
    <w:rsid w:val="00C606B5"/>
    <w:rsid w:val="00C63C28"/>
    <w:rsid w:val="00C664B5"/>
    <w:rsid w:val="00C7506F"/>
    <w:rsid w:val="00C8393D"/>
    <w:rsid w:val="00C958A9"/>
    <w:rsid w:val="00CA4A62"/>
    <w:rsid w:val="00CD2421"/>
    <w:rsid w:val="00D4031D"/>
    <w:rsid w:val="00D42BEA"/>
    <w:rsid w:val="00D550ED"/>
    <w:rsid w:val="00D84701"/>
    <w:rsid w:val="00DB262D"/>
    <w:rsid w:val="00DB2B98"/>
    <w:rsid w:val="00DC3274"/>
    <w:rsid w:val="00DF2B49"/>
    <w:rsid w:val="00E01909"/>
    <w:rsid w:val="00E04A28"/>
    <w:rsid w:val="00E141D1"/>
    <w:rsid w:val="00E254B8"/>
    <w:rsid w:val="00E260BA"/>
    <w:rsid w:val="00E30791"/>
    <w:rsid w:val="00E31D3E"/>
    <w:rsid w:val="00E3393E"/>
    <w:rsid w:val="00E364B9"/>
    <w:rsid w:val="00E41CC6"/>
    <w:rsid w:val="00E5569C"/>
    <w:rsid w:val="00E733DE"/>
    <w:rsid w:val="00E85B25"/>
    <w:rsid w:val="00EA5797"/>
    <w:rsid w:val="00EB2277"/>
    <w:rsid w:val="00EB5E1D"/>
    <w:rsid w:val="00EC1CB8"/>
    <w:rsid w:val="00ED01F9"/>
    <w:rsid w:val="00ED34F3"/>
    <w:rsid w:val="00EE1CB3"/>
    <w:rsid w:val="00F26182"/>
    <w:rsid w:val="00F30654"/>
    <w:rsid w:val="00F36B87"/>
    <w:rsid w:val="00F9150C"/>
    <w:rsid w:val="00FA0EBB"/>
    <w:rsid w:val="00FA2718"/>
    <w:rsid w:val="00FB76F1"/>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260"/>
      </w:tabs>
      <w:jc w:val="center"/>
      <w:outlineLvl w:val="2"/>
    </w:pPr>
    <w:rPr>
      <w:u w:val="single"/>
    </w:rPr>
  </w:style>
  <w:style w:type="paragraph" w:styleId="Heading4">
    <w:name w:val="heading 4"/>
    <w:basedOn w:val="Normal"/>
    <w:next w:val="Normal"/>
    <w:qFormat/>
    <w:pPr>
      <w:keepNext/>
      <w:tabs>
        <w:tab w:val="left" w:pos="0"/>
        <w:tab w:val="left" w:pos="720"/>
        <w:tab w:val="left" w:pos="1260"/>
      </w:tabs>
      <w:outlineLvl w:val="3"/>
    </w:pPr>
    <w:rPr>
      <w:u w:val="single"/>
    </w:rPr>
  </w:style>
  <w:style w:type="paragraph" w:styleId="Heading5">
    <w:name w:val="heading 5"/>
    <w:basedOn w:val="Normal"/>
    <w:next w:val="Normal"/>
    <w:qFormat/>
    <w:pPr>
      <w:keepNex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rsid w:val="00431C81"/>
    <w:rPr>
      <w:sz w:val="16"/>
      <w:szCs w:val="16"/>
    </w:rPr>
  </w:style>
  <w:style w:type="paragraph" w:styleId="CommentText">
    <w:name w:val="annotation text"/>
    <w:basedOn w:val="Normal"/>
    <w:link w:val="CommentTextChar"/>
    <w:rsid w:val="00431C81"/>
  </w:style>
  <w:style w:type="paragraph" w:styleId="Caption">
    <w:name w:val="caption"/>
    <w:basedOn w:val="Normal"/>
    <w:next w:val="Normal"/>
    <w:qFormat/>
    <w:pPr>
      <w:jc w:val="center"/>
    </w:pPr>
    <w:rPr>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2F3C70"/>
    <w:rPr>
      <w:rFonts w:ascii="Tahoma" w:hAnsi="Tahoma" w:cs="Tahoma"/>
      <w:sz w:val="16"/>
      <w:szCs w:val="16"/>
    </w:rPr>
  </w:style>
  <w:style w:type="character" w:customStyle="1" w:styleId="CommentTextChar">
    <w:name w:val="Comment Text Char"/>
    <w:basedOn w:val="DefaultParagraphFont"/>
    <w:link w:val="CommentText"/>
    <w:rsid w:val="00431C81"/>
  </w:style>
  <w:style w:type="paragraph" w:styleId="CommentSubject">
    <w:name w:val="annotation subject"/>
    <w:basedOn w:val="CommentText"/>
    <w:next w:val="CommentText"/>
    <w:link w:val="CommentSubjectChar"/>
    <w:rsid w:val="00431C81"/>
    <w:rPr>
      <w:b/>
      <w:bCs/>
    </w:rPr>
  </w:style>
  <w:style w:type="character" w:customStyle="1" w:styleId="CommentSubjectChar">
    <w:name w:val="Comment Subject Char"/>
    <w:link w:val="CommentSubject"/>
    <w:rsid w:val="00431C81"/>
    <w:rPr>
      <w:b/>
      <w:bCs/>
    </w:rPr>
  </w:style>
  <w:style w:type="character" w:styleId="Emphasis">
    <w:name w:val="Emphasis"/>
    <w:uiPriority w:val="20"/>
    <w:qFormat/>
    <w:rsid w:val="00ED34F3"/>
    <w:rPr>
      <w:i/>
      <w:iCs/>
    </w:rPr>
  </w:style>
  <w:style w:type="paragraph" w:styleId="NormalWeb">
    <w:name w:val="Normal (Web)"/>
    <w:basedOn w:val="Normal"/>
    <w:uiPriority w:val="99"/>
    <w:unhideWhenUsed/>
    <w:rsid w:val="00ED34F3"/>
    <w:pPr>
      <w:spacing w:before="100" w:beforeAutospacing="1" w:after="100" w:afterAutospacing="1"/>
    </w:pPr>
    <w:rPr>
      <w:sz w:val="24"/>
      <w:szCs w:val="24"/>
    </w:rPr>
  </w:style>
  <w:style w:type="paragraph" w:styleId="Revision">
    <w:name w:val="Revision"/>
    <w:hidden/>
    <w:uiPriority w:val="99"/>
    <w:semiHidden/>
    <w:rsid w:val="00ED3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o.com/distance/" TargetMode="External"/><Relationship Id="rId13" Type="http://schemas.openxmlformats.org/officeDocument/2006/relationships/hyperlink" Target="http://www.defensetravel.dod.mil/site/perdiemCalc.cfm" TargetMode="External"/><Relationship Id="rId3" Type="http://schemas.openxmlformats.org/officeDocument/2006/relationships/styles" Target="styles.xml"/><Relationship Id="rId7" Type="http://schemas.openxmlformats.org/officeDocument/2006/relationships/hyperlink" Target="http://www.admin.ks.gov/offices/chief-financial-officer/travel-information-for-state-employees" TargetMode="External"/><Relationship Id="rId12" Type="http://schemas.openxmlformats.org/officeDocument/2006/relationships/hyperlink" Target="http://www.gsa.gov/portal/content/1048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oprals.state.gov/web920/per_diem.asp"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admin.ks.gov/offices/ofpm/state-agency-vehicle-usage" TargetMode="External"/><Relationship Id="rId4" Type="http://schemas.microsoft.com/office/2007/relationships/stylesWithEffects" Target="stylesWithEffects.xml"/><Relationship Id="rId9" Type="http://schemas.openxmlformats.org/officeDocument/2006/relationships/hyperlink" Target="http://www.admin.ks.gov/offices/ofpm/state-agency-vehicle-usage" TargetMode="External"/><Relationship Id="rId14" Type="http://schemas.openxmlformats.org/officeDocument/2006/relationships/hyperlink" Target="https://aoprals.state.gov/web920/per_di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13DA-AC3D-4AED-B458-CD5AEDF9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1366</Words>
  <Characters>7791</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State of Kansas Employee Travel Trifold</vt:lpstr>
    </vt:vector>
  </TitlesOfParts>
  <Company>State of Kansas</Company>
  <LinksUpToDate>false</LinksUpToDate>
  <CharactersWithSpaces>9139</CharactersWithSpaces>
  <SharedDoc>false</SharedDoc>
  <HLinks>
    <vt:vector size="30" baseType="variant">
      <vt:variant>
        <vt:i4>6881290</vt:i4>
      </vt:variant>
      <vt:variant>
        <vt:i4>12</vt:i4>
      </vt:variant>
      <vt:variant>
        <vt:i4>0</vt:i4>
      </vt:variant>
      <vt:variant>
        <vt:i4>5</vt:i4>
      </vt:variant>
      <vt:variant>
        <vt:lpwstr>http://aoprals.state.gov/web920/per_diem.asp</vt:lpwstr>
      </vt:variant>
      <vt:variant>
        <vt:lpwstr/>
      </vt:variant>
      <vt:variant>
        <vt:i4>6684777</vt:i4>
      </vt:variant>
      <vt:variant>
        <vt:i4>9</vt:i4>
      </vt:variant>
      <vt:variant>
        <vt:i4>0</vt:i4>
      </vt:variant>
      <vt:variant>
        <vt:i4>5</vt:i4>
      </vt:variant>
      <vt:variant>
        <vt:lpwstr>http://www.admin.ks.gov/offices/ofpm/state-agency-vehicle-usage</vt:lpwstr>
      </vt:variant>
      <vt:variant>
        <vt:lpwstr/>
      </vt:variant>
      <vt:variant>
        <vt:i4>6684777</vt:i4>
      </vt:variant>
      <vt:variant>
        <vt:i4>6</vt:i4>
      </vt:variant>
      <vt:variant>
        <vt:i4>0</vt:i4>
      </vt:variant>
      <vt:variant>
        <vt:i4>5</vt:i4>
      </vt:variant>
      <vt:variant>
        <vt:lpwstr>http://www.admin.ks.gov/offices/ofpm/state-agency-vehicle-usage</vt:lpwstr>
      </vt:variant>
      <vt:variant>
        <vt:lpwstr/>
      </vt:variant>
      <vt:variant>
        <vt:i4>6160458</vt:i4>
      </vt:variant>
      <vt:variant>
        <vt:i4>3</vt:i4>
      </vt:variant>
      <vt:variant>
        <vt:i4>0</vt:i4>
      </vt:variant>
      <vt:variant>
        <vt:i4>5</vt:i4>
      </vt:variant>
      <vt:variant>
        <vt:lpwstr>http://www.indo.com/distance/</vt:lpwstr>
      </vt:variant>
      <vt:variant>
        <vt:lpwstr/>
      </vt:variant>
      <vt:variant>
        <vt:i4>2097192</vt:i4>
      </vt:variant>
      <vt:variant>
        <vt:i4>0</vt:i4>
      </vt:variant>
      <vt:variant>
        <vt:i4>0</vt:i4>
      </vt:variant>
      <vt:variant>
        <vt:i4>5</vt:i4>
      </vt:variant>
      <vt:variant>
        <vt:lpwstr>https://www.admin.ks.gov/offices/chief-financial-officer/travel-information-for-state-employees/travel-expense-handbook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Kansas Employee Travel Trifold</dc:title>
  <dc:creator>RKennedy</dc:creator>
  <cp:lastModifiedBy>Rbasinge</cp:lastModifiedBy>
  <cp:revision>7</cp:revision>
  <cp:lastPrinted>2015-12-14T20:50:00Z</cp:lastPrinted>
  <dcterms:created xsi:type="dcterms:W3CDTF">2015-12-21T16:35:00Z</dcterms:created>
  <dcterms:modified xsi:type="dcterms:W3CDTF">2016-06-28T19:39:00Z</dcterms:modified>
</cp:coreProperties>
</file>